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7465A934" w:rsidR="00054FD3" w:rsidRDefault="00080BAF" w:rsidP="009463AE">
            <w:r>
              <w:t>5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6144BD06" w:rsidR="00054FD3" w:rsidRDefault="003C55FA" w:rsidP="00080BAF">
            <w:r>
              <w:t>Mathematics</w:t>
            </w:r>
            <w:r w:rsidR="00080BAF">
              <w:t>—Equivalent Fractions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03043A66" w14:textId="3EBEA8F7" w:rsidR="00080BAF" w:rsidRPr="00734688" w:rsidRDefault="00080BAF" w:rsidP="00080BAF">
            <w:pPr>
              <w:spacing w:after="0" w:line="240" w:lineRule="exact"/>
              <w:rPr>
                <w:rFonts w:eastAsia="Acumin Pro Semibold" w:cstheme="minorHAnsi"/>
                <w:color w:val="000000" w:themeColor="text1"/>
                <w:lang w:val="en-US"/>
              </w:rPr>
            </w:pPr>
            <w:r w:rsidRPr="00734688">
              <w:rPr>
                <w:rFonts w:eastAsia="Acumin Pro Semibold" w:cstheme="minorHAnsi"/>
                <w:color w:val="000000" w:themeColor="text1"/>
                <w:lang w:val="en-US"/>
              </w:rPr>
              <w:t>Equivalent fractions are fractions</w:t>
            </w:r>
            <w:r>
              <w:rPr>
                <w:rFonts w:eastAsia="Acumin Pro Semibold" w:cstheme="minorHAnsi"/>
                <w:color w:val="000000" w:themeColor="text1"/>
                <w:lang w:val="en-US"/>
              </w:rPr>
              <w:t xml:space="preserve"> that represent the same value.</w:t>
            </w:r>
          </w:p>
          <w:p w14:paraId="2378F3D0" w14:textId="54412023" w:rsidR="00054FD3" w:rsidRDefault="00080BAF" w:rsidP="00080BAF">
            <w:pPr>
              <w:spacing w:before="0"/>
            </w:pPr>
            <w:r w:rsidRPr="00734688">
              <w:rPr>
                <w:rFonts w:eastAsia="Acumin Pro Semibold" w:cstheme="minorHAnsi"/>
                <w:color w:val="000000" w:themeColor="text1"/>
                <w:lang w:val="en-US"/>
              </w:rPr>
              <w:t>Different strategies can be used to compare fractions with unlike denominators.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09918BC6" w:rsidR="00054FD3" w:rsidRDefault="00080BAF" w:rsidP="009463AE">
            <w:r>
              <w:t>INVESTIGATING FRACTIONS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22258703" w:rsidR="009B7CDE" w:rsidRDefault="00080BAF" w:rsidP="009463AE">
            <w:r>
              <w:t>Number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3BDBADAF" w:rsidR="00054FD3" w:rsidRDefault="00080BAF" w:rsidP="00080BAF">
            <w:r>
              <w:t>2</w:t>
            </w:r>
            <w:r w:rsidR="00482486">
              <w:t>–</w:t>
            </w:r>
            <w:r>
              <w:t>3</w:t>
            </w:r>
            <w:r w:rsidR="00482486">
              <w:t xml:space="preserve">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21F9DB98" w:rsidR="00482486" w:rsidRPr="00482486" w:rsidRDefault="00CE31B0" w:rsidP="00482486">
            <w:r>
              <w:t>See slides</w:t>
            </w:r>
          </w:p>
        </w:tc>
      </w:tr>
      <w:tr w:rsidR="00CE31B0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CE31B0" w:rsidRPr="00511CEB" w:rsidRDefault="00CE31B0" w:rsidP="00CE31B0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2B12C80D" w:rsidR="00CE31B0" w:rsidRPr="00CE31B0" w:rsidRDefault="00CE31B0" w:rsidP="00080BAF">
            <w:pPr>
              <w:rPr>
                <w:rFonts w:cstheme="minorHAnsi"/>
              </w:rPr>
            </w:pPr>
            <w:r w:rsidRPr="00CE31B0">
              <w:rPr>
                <w:rFonts w:eastAsia="Times New Roman" w:cstheme="minorHAnsi"/>
                <w:lang w:eastAsia="en-CA"/>
              </w:rPr>
              <w:t xml:space="preserve">This is a collection of learning experiences </w:t>
            </w:r>
            <w:r w:rsidR="00FD1FF0">
              <w:rPr>
                <w:rFonts w:eastAsia="Times New Roman" w:cstheme="minorHAnsi"/>
                <w:lang w:eastAsia="en-CA"/>
              </w:rPr>
              <w:t xml:space="preserve">that </w:t>
            </w:r>
            <w:r w:rsidRPr="00CE31B0">
              <w:rPr>
                <w:rFonts w:eastAsia="Times New Roman" w:cstheme="minorHAnsi"/>
                <w:lang w:eastAsia="en-CA"/>
              </w:rPr>
              <w:t xml:space="preserve">focus on the concepts of </w:t>
            </w:r>
            <w:r w:rsidR="00080BAF">
              <w:rPr>
                <w:rFonts w:eastAsia="Times New Roman" w:cstheme="minorHAnsi"/>
                <w:iCs/>
                <w:lang w:eastAsia="en-CA"/>
              </w:rPr>
              <w:t>equivalent fractions.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080BAF" w14:paraId="5F62D2C0" w14:textId="77777777" w:rsidTr="00482486">
        <w:trPr>
          <w:trHeight w:val="1340"/>
        </w:trPr>
        <w:tc>
          <w:tcPr>
            <w:tcW w:w="10456" w:type="dxa"/>
          </w:tcPr>
          <w:p w14:paraId="33D0769A" w14:textId="18C4DB0B" w:rsidR="00482486" w:rsidRPr="00080BAF" w:rsidRDefault="008F731B" w:rsidP="00080BAF">
            <w:r w:rsidRPr="00080BAF">
              <w:t xml:space="preserve">Mathematics: </w:t>
            </w:r>
            <w:hyperlink r:id="rId12" w:history="1">
              <w:r w:rsidRPr="00080BAF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 w:rsidRPr="00080BAF">
              <w:rPr>
                <w:rStyle w:val="Hyperlink"/>
                <w:u w:val="none"/>
              </w:rPr>
              <w:t xml:space="preserve"> </w:t>
            </w:r>
            <w:r w:rsidR="003D4F96" w:rsidRPr="00080BAF">
              <w:rPr>
                <w:rStyle w:val="Hyperlink"/>
                <w:u w:val="none"/>
              </w:rPr>
              <w:br/>
            </w:r>
            <w:r w:rsidR="00080BAF">
              <w:t>5.N.7</w:t>
            </w:r>
          </w:p>
        </w:tc>
      </w:tr>
    </w:tbl>
    <w:p w14:paraId="7F48FEA6" w14:textId="5C52040E" w:rsidR="003D4F96" w:rsidRPr="00080BAF" w:rsidRDefault="003D4F96" w:rsidP="00DC7360">
      <w:pPr>
        <w:pStyle w:val="Heading1"/>
      </w:pPr>
    </w:p>
    <w:p w14:paraId="5172662D" w14:textId="77777777" w:rsidR="003D4F96" w:rsidRPr="00080BAF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 w:rsidRPr="00080BAF"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:rsidRPr="001B60E7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69EF6962" w:rsidR="00054FD3" w:rsidRPr="001B60E7" w:rsidRDefault="00CE31B0" w:rsidP="001B60E7">
            <w:pPr>
              <w:spacing w:before="0" w:after="0"/>
              <w:rPr>
                <w:lang w:val="fr-CA"/>
              </w:rPr>
            </w:pPr>
            <w:r w:rsidRPr="001B60E7">
              <w:rPr>
                <w:lang w:val="fr-CA"/>
              </w:rPr>
              <w:t>Lisa</w:t>
            </w:r>
            <w:r w:rsidR="001B60E7">
              <w:rPr>
                <w:lang w:val="fr-CA"/>
              </w:rPr>
              <w:t xml:space="preserve"> Page and Dayna Quinn-LaFleche</w:t>
            </w:r>
          </w:p>
        </w:tc>
      </w:tr>
    </w:tbl>
    <w:p w14:paraId="0BAF8D7C" w14:textId="77777777" w:rsidR="008F731B" w:rsidRPr="001B60E7" w:rsidRDefault="008F731B" w:rsidP="00DC7360">
      <w:pPr>
        <w:pStyle w:val="Heading1"/>
        <w:rPr>
          <w:lang w:val="fr-CA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71F94EED" w:rsidR="00054FD3" w:rsidRPr="00277088" w:rsidRDefault="00054FD3" w:rsidP="00080BAF">
            <w:pPr>
              <w:pStyle w:val="Tablequestionheader"/>
            </w:pPr>
            <w:r w:rsidRPr="00277088">
              <w:t xml:space="preserve">Question: </w:t>
            </w:r>
            <w:r w:rsidR="00080BAF">
              <w:t>What are equivalent fractions?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324AEE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1DCA6084" w14:textId="14471801" w:rsidR="00CE31B0" w:rsidRDefault="00080BAF" w:rsidP="00CE31B0">
            <w:pPr>
              <w:rPr>
                <w:lang w:val="en-US"/>
              </w:rPr>
            </w:pPr>
            <w:r w:rsidRPr="00734688">
              <w:rPr>
                <w:rFonts w:cstheme="minorHAnsi"/>
                <w:szCs w:val="24"/>
                <w:lang w:val="en-US"/>
              </w:rPr>
              <w:t>This collection of tasks is designed around the concept of equivalent fractions.</w:t>
            </w:r>
            <w:r>
              <w:rPr>
                <w:rFonts w:cstheme="minorHAnsi"/>
                <w:szCs w:val="24"/>
                <w:lang w:val="en-US"/>
              </w:rPr>
              <w:t xml:space="preserve"> Each day represents independent sets of three-part learning experiences that could function effectively as 45 minute to 1 hour sessions with a combination of synchronous and asynchronous parts, some of which are easily adaptable either way, depending on your situation and access to technology and connectivity.</w:t>
            </w:r>
            <w:r w:rsidR="00CE31B0">
              <w:rPr>
                <w:lang w:val="en-US"/>
              </w:rPr>
              <w:t xml:space="preserve"> </w:t>
            </w:r>
          </w:p>
          <w:p w14:paraId="323639AE" w14:textId="74128393" w:rsidR="00CE31B0" w:rsidRPr="00080BAF" w:rsidRDefault="00080BAF" w:rsidP="00CE31B0">
            <w:pPr>
              <w:rPr>
                <w:rFonts w:cstheme="minorHAnsi"/>
                <w:szCs w:val="24"/>
                <w:lang w:val="en-US"/>
              </w:rPr>
            </w:pPr>
            <w:r w:rsidRPr="00734688">
              <w:rPr>
                <w:rFonts w:cstheme="minorHAnsi"/>
                <w:szCs w:val="24"/>
                <w:lang w:val="en-US"/>
              </w:rPr>
              <w:t xml:space="preserve">Each day provides a different way of engaging with the concept and is divided into </w:t>
            </w:r>
            <w:r>
              <w:rPr>
                <w:rFonts w:cstheme="minorHAnsi"/>
                <w:szCs w:val="24"/>
                <w:lang w:val="en-US"/>
              </w:rPr>
              <w:t>three</w:t>
            </w:r>
            <w:r w:rsidRPr="00734688">
              <w:rPr>
                <w:rFonts w:cstheme="minorHAnsi"/>
                <w:szCs w:val="24"/>
                <w:lang w:val="en-US"/>
              </w:rPr>
              <w:t xml:space="preserve"> main parts:</w:t>
            </w:r>
          </w:p>
          <w:p w14:paraId="676B718E" w14:textId="79E06C9E" w:rsidR="00CE31B0" w:rsidRPr="00CE31B0" w:rsidRDefault="00786F5E" w:rsidP="00CE31B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Get Ready</w:t>
            </w:r>
            <w:r w:rsidR="00CE31B0" w:rsidRPr="00F5482B">
              <w:rPr>
                <w:lang w:val="en-US"/>
              </w:rPr>
              <w:t xml:space="preserve"> begins </w:t>
            </w:r>
            <w:r w:rsidR="00CE31B0">
              <w:rPr>
                <w:lang w:val="en-US"/>
              </w:rPr>
              <w:t xml:space="preserve">the experience </w:t>
            </w:r>
            <w:r w:rsidR="00CE31B0"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 w:rsidR="00CE31B0">
              <w:rPr>
                <w:lang w:val="en-US"/>
              </w:rPr>
              <w:t>can</w:t>
            </w:r>
            <w:r w:rsidR="00CE31B0" w:rsidRPr="00F5482B">
              <w:rPr>
                <w:lang w:val="en-US"/>
              </w:rPr>
              <w:t xml:space="preserve"> be delivered prior to the lesson as an asynchronous </w:t>
            </w:r>
            <w:r w:rsidR="00CE31B0" w:rsidRPr="7E770928">
              <w:rPr>
                <w:lang w:val="en-US"/>
              </w:rPr>
              <w:t>task</w:t>
            </w:r>
            <w:r w:rsidR="00CE31B0" w:rsidRPr="00F5482B">
              <w:rPr>
                <w:lang w:val="en-US"/>
              </w:rPr>
              <w:t xml:space="preserve"> so students have time to prepare their thinking. </w:t>
            </w:r>
            <w:r w:rsidR="00CE31B0">
              <w:rPr>
                <w:lang w:val="en-US"/>
              </w:rPr>
              <w:t>It</w:t>
            </w:r>
            <w:r w:rsidR="00CE31B0"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2838E85E" w14:textId="77777777" w:rsidR="00CE31B0" w:rsidRPr="00631F29" w:rsidRDefault="00CE31B0" w:rsidP="00CE31B0">
            <w:pPr>
              <w:pStyle w:val="ListParagraph"/>
              <w:ind w:left="418"/>
            </w:pPr>
          </w:p>
          <w:p w14:paraId="397557A7" w14:textId="34F947EF" w:rsidR="00CE31B0" w:rsidRPr="00CE31B0" w:rsidRDefault="00FD1FF0" w:rsidP="00CE31B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Work I</w:t>
            </w:r>
            <w:r w:rsidR="00CE31B0"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</w:t>
            </w:r>
            <w:r w:rsidR="00786F5E">
              <w:rPr>
                <w:b/>
                <w:bCs/>
                <w:lang w:val="en-US"/>
              </w:rPr>
              <w:t>ut</w:t>
            </w:r>
            <w:r w:rsidR="00CE31B0" w:rsidRPr="00631F29">
              <w:rPr>
                <w:lang w:val="en-US"/>
              </w:rPr>
              <w:t xml:space="preserve"> comprises the main learning experi</w:t>
            </w:r>
            <w:r>
              <w:rPr>
                <w:lang w:val="en-US"/>
              </w:rPr>
              <w:t xml:space="preserve">ence for the day. This is where new content is presented and individual or small-group </w:t>
            </w:r>
            <w:r w:rsidR="00CE31B0" w:rsidRPr="00631F29">
              <w:rPr>
                <w:lang w:val="en-US"/>
              </w:rPr>
              <w:t>responses are</w:t>
            </w:r>
            <w:r w:rsidR="00CE31B0">
              <w:rPr>
                <w:lang w:val="en-US"/>
              </w:rPr>
              <w:t xml:space="preserve"> required</w:t>
            </w:r>
            <w:r w:rsidR="00CE31B0" w:rsidRPr="00460795">
              <w:rPr>
                <w:lang w:val="en-US"/>
              </w:rPr>
              <w:t>.</w:t>
            </w:r>
            <w:r w:rsidR="00CE31B0" w:rsidRPr="00631F29">
              <w:rPr>
                <w:lang w:val="en-US"/>
              </w:rPr>
              <w:t xml:space="preserve"> These activities are best </w:t>
            </w:r>
            <w:r w:rsidR="00CE31B0">
              <w:rPr>
                <w:lang w:val="en-US"/>
              </w:rPr>
              <w:t>completed</w:t>
            </w:r>
            <w:r w:rsidR="00CE31B0"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21F60766" w14:textId="77777777" w:rsidR="00CE31B0" w:rsidRPr="00631F29" w:rsidRDefault="00CE31B0" w:rsidP="00CE31B0">
            <w:pPr>
              <w:pStyle w:val="ListParagraph"/>
              <w:ind w:left="418"/>
            </w:pPr>
          </w:p>
          <w:p w14:paraId="062B318D" w14:textId="493F10C6" w:rsidR="00482486" w:rsidRPr="00D13305" w:rsidRDefault="00786F5E" w:rsidP="00F71C14">
            <w:pPr>
              <w:pStyle w:val="ListParagraph"/>
              <w:numPr>
                <w:ilvl w:val="0"/>
                <w:numId w:val="18"/>
              </w:numPr>
              <w:spacing w:after="240"/>
              <w:ind w:left="418" w:hanging="418"/>
            </w:pPr>
            <w:r>
              <w:rPr>
                <w:b/>
                <w:bCs/>
                <w:lang w:val="en-US"/>
              </w:rPr>
              <w:t>Look Back</w:t>
            </w:r>
            <w:r w:rsidR="00FD1FF0">
              <w:rPr>
                <w:lang w:val="en-US"/>
              </w:rPr>
              <w:t xml:space="preserve"> </w:t>
            </w:r>
            <w:r w:rsidR="00CE31B0">
              <w:rPr>
                <w:lang w:val="en-US"/>
              </w:rPr>
              <w:t>is a final culminating task that</w:t>
            </w:r>
            <w:r w:rsidR="00FD1FF0">
              <w:rPr>
                <w:lang w:val="en-US"/>
              </w:rPr>
              <w:t xml:space="preserve"> </w:t>
            </w:r>
            <w:r w:rsidR="00CE31B0" w:rsidRPr="00D13305">
              <w:rPr>
                <w:lang w:val="en-US"/>
              </w:rPr>
              <w:t xml:space="preserve">provides opportunities </w:t>
            </w:r>
            <w:r w:rsidR="00CE31B0">
              <w:rPr>
                <w:lang w:val="en-US"/>
              </w:rPr>
              <w:t>to</w:t>
            </w:r>
            <w:r w:rsidR="00CE31B0" w:rsidRPr="00D13305">
              <w:rPr>
                <w:lang w:val="en-US"/>
              </w:rPr>
              <w:t xml:space="preserve"> check f</w:t>
            </w:r>
            <w:r w:rsidR="00FD1FF0">
              <w:rPr>
                <w:lang w:val="en-US"/>
              </w:rPr>
              <w:t xml:space="preserve">or student understanding of the </w:t>
            </w:r>
            <w:r w:rsidR="00CE31B0" w:rsidRPr="00D13305">
              <w:rPr>
                <w:lang w:val="en-US"/>
              </w:rPr>
              <w:t>concepts, consolidat</w:t>
            </w:r>
            <w:r w:rsidR="00CE31B0">
              <w:rPr>
                <w:lang w:val="en-US"/>
              </w:rPr>
              <w:t>e</w:t>
            </w:r>
            <w:r w:rsidR="00CE31B0" w:rsidRPr="00D13305">
              <w:rPr>
                <w:lang w:val="en-US"/>
              </w:rPr>
              <w:t xml:space="preserve"> different solutions</w:t>
            </w:r>
            <w:r w:rsidR="00FD1FF0">
              <w:rPr>
                <w:lang w:val="en-US"/>
              </w:rPr>
              <w:t>,</w:t>
            </w:r>
            <w:r w:rsidR="00CE31B0" w:rsidRPr="00D13305">
              <w:rPr>
                <w:lang w:val="en-US"/>
              </w:rPr>
              <w:t xml:space="preserve"> and solv</w:t>
            </w:r>
            <w:r w:rsidR="00CE31B0">
              <w:rPr>
                <w:lang w:val="en-US"/>
              </w:rPr>
              <w:t>e</w:t>
            </w:r>
            <w:r w:rsidR="00CE31B0" w:rsidRPr="00D13305">
              <w:rPr>
                <w:lang w:val="en-US"/>
              </w:rPr>
              <w:t xml:space="preserve"> problems</w:t>
            </w:r>
            <w:r w:rsidR="00CE31B0">
              <w:rPr>
                <w:lang w:val="en-US"/>
              </w:rPr>
              <w:t>. I</w:t>
            </w:r>
            <w:r w:rsidR="00FD1FF0">
              <w:rPr>
                <w:lang w:val="en-US"/>
              </w:rPr>
              <w:t xml:space="preserve">t allows for students to </w:t>
            </w:r>
            <w:r w:rsidR="00CE31B0" w:rsidRPr="00D13305">
              <w:rPr>
                <w:lang w:val="en-US"/>
              </w:rPr>
              <w:t>reflect on their learning and make connections.</w:t>
            </w:r>
          </w:p>
          <w:p w14:paraId="1EAA139B" w14:textId="77777777" w:rsidR="00CE31B0" w:rsidRDefault="00CE31B0" w:rsidP="00CE31B0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6FDEAEB1" w:rsidR="00324AEE" w:rsidRPr="00CE31B0" w:rsidRDefault="00CE31B0" w:rsidP="00CE31B0">
            <w:pPr>
              <w:pStyle w:val="Tablequestionheader"/>
              <w:rPr>
                <w:b w:val="0"/>
              </w:rPr>
            </w:pPr>
            <w:r w:rsidRPr="00CE31B0">
              <w:rPr>
                <w:b w:val="0"/>
                <w:lang w:val="en-US"/>
              </w:rPr>
              <w:t>These will need to be provided by the teacher in term</w:t>
            </w:r>
            <w:r w:rsidR="00FD1FF0">
              <w:rPr>
                <w:b w:val="0"/>
                <w:lang w:val="en-US"/>
              </w:rPr>
              <w:t>s of what parts will be student-</w:t>
            </w:r>
            <w:r w:rsidRPr="00CE31B0">
              <w:rPr>
                <w:b w:val="0"/>
                <w:lang w:val="en-US"/>
              </w:rPr>
              <w:t>led</w:t>
            </w:r>
            <w:r w:rsidR="00FD1FF0">
              <w:rPr>
                <w:b w:val="0"/>
                <w:lang w:val="en-US"/>
              </w:rPr>
              <w:t xml:space="preserve"> and those that will be teacher-</w:t>
            </w:r>
            <w:r w:rsidRPr="00CE31B0">
              <w:rPr>
                <w:b w:val="0"/>
                <w:lang w:val="en-US"/>
              </w:rPr>
              <w:t>led. More detailed instructions for each learning experience are included in the NOTES section under each slide.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p w14:paraId="0C58BF4B" w14:textId="77777777" w:rsidR="00D14D9B" w:rsidRDefault="00D14D9B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lastRenderedPageBreak/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479F0A47" w:rsidR="00C9049A" w:rsidRPr="00C9049A" w:rsidRDefault="00C9049A" w:rsidP="0030132B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 w:rsidR="0030132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5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30132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Investigating Fractions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 w:rsidR="0030132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5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30132B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Investigating Fractions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Rubric.docx</w:t>
            </w:r>
          </w:p>
        </w:tc>
      </w:tr>
    </w:tbl>
    <w:p w14:paraId="33344DF7" w14:textId="3335E928" w:rsidR="00FD1FF0" w:rsidRDefault="00FD1FF0"/>
    <w:p w14:paraId="363E744E" w14:textId="77777777" w:rsidR="00FD1FF0" w:rsidRDefault="00FD1FF0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834E73">
        <w:tc>
          <w:tcPr>
            <w:tcW w:w="10456" w:type="dxa"/>
            <w:gridSpan w:val="5"/>
            <w:vAlign w:val="center"/>
          </w:tcPr>
          <w:p w14:paraId="47E7E7E9" w14:textId="35C29040" w:rsidR="00B0091D" w:rsidRPr="00B80634" w:rsidRDefault="0030132B" w:rsidP="00834E73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>Investigating Fractions</w:t>
            </w:r>
            <w:r w:rsidR="00FD1FF0" w:rsidRPr="00B80634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 xml:space="preserve">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984A84E" w14:textId="4A58388D" w:rsidR="00834E73" w:rsidRPr="00834E73" w:rsidRDefault="00834E73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</w:pPr>
            <w:r w:rsidRP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Basic descriptors to help guide</w:t>
            </w: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your</w:t>
            </w:r>
            <w:r w:rsidRP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formative assessments. Full details of the student achievement profiles can be found here:</w:t>
            </w:r>
          </w:p>
          <w:p w14:paraId="7139AA26" w14:textId="016AE646" w:rsidR="00834E73" w:rsidRPr="00834E73" w:rsidRDefault="001B60E7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3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Mental Math and Estimation</w:t>
              </w:r>
            </w:hyperlink>
          </w:p>
          <w:p w14:paraId="4C4170B6" w14:textId="72310109" w:rsidR="00834E73" w:rsidRDefault="001B60E7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434343"/>
                <w:sz w:val="20"/>
                <w:szCs w:val="20"/>
              </w:rPr>
            </w:pPr>
            <w:hyperlink r:id="rId14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834E73" w:rsidRPr="00834E73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and Understanding</w:t>
            </w:r>
          </w:p>
          <w:p w14:paraId="05E2930F" w14:textId="058DC82B" w:rsidR="00B0091D" w:rsidRPr="00B0091D" w:rsidRDefault="001B60E7" w:rsidP="00834E73">
            <w:pPr>
              <w:rPr>
                <w:rFonts w:eastAsia="Annie Use Your Telescope" w:cstheme="minorHAnsi"/>
                <w:b/>
                <w:sz w:val="22"/>
              </w:rPr>
            </w:pPr>
            <w:hyperlink r:id="rId15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834E73">
                <w:rPr>
                  <w:rFonts w:ascii="Annie Use Your Telescope" w:eastAsia="Annie Use Your Telescope" w:hAnsi="Annie Use Your Telescope" w:cs="Annie Use Your Telescope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6B411BA3" w:rsidR="00B0091D" w:rsidRPr="00B0091D" w:rsidRDefault="00834E73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considerable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on</w:t>
            </w:r>
            <w:r w:rsidR="00B0091D"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1A6CB2C4" w:rsidR="00B0091D" w:rsidRPr="00B0091D" w:rsidRDefault="00B0091D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occasional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teacher or peer support.</w:t>
            </w:r>
          </w:p>
        </w:tc>
        <w:tc>
          <w:tcPr>
            <w:tcW w:w="2070" w:type="dxa"/>
          </w:tcPr>
          <w:p w14:paraId="29DF3277" w14:textId="7DB98461" w:rsidR="00B0091D" w:rsidRPr="00B0091D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Accurate, clear,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and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uses appropriate strategies 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1E0F848D" w:rsidR="00B0091D" w:rsidRPr="00B0091D" w:rsidRDefault="00B0091D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Accurate, clear, flexible, consistent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 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efficient. Justifies </w:t>
            </w:r>
            <w:r w:rsid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explains reasoning clearly and completely using accurate math vocabulary.</w:t>
            </w:r>
          </w:p>
        </w:tc>
      </w:tr>
      <w:tr w:rsidR="004A0272" w14:paraId="200D3B18" w14:textId="77777777" w:rsidTr="00834E73">
        <w:tc>
          <w:tcPr>
            <w:tcW w:w="3235" w:type="dxa"/>
            <w:shd w:val="clear" w:color="auto" w:fill="F7CAAC" w:themeFill="accent2" w:themeFillTint="66"/>
          </w:tcPr>
          <w:p w14:paraId="6A5D1087" w14:textId="20AAC18D" w:rsidR="004A0272" w:rsidRPr="00FD1FF0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4E10100C" w:rsidR="004A0272" w:rsidRPr="00B0091D" w:rsidRDefault="004A0272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30132B" w14:paraId="5EFDEC2B" w14:textId="77777777" w:rsidTr="004A0272">
        <w:tc>
          <w:tcPr>
            <w:tcW w:w="3235" w:type="dxa"/>
          </w:tcPr>
          <w:p w14:paraId="07815DB2" w14:textId="47E037F1" w:rsidR="0030132B" w:rsidRPr="00FD1FF0" w:rsidRDefault="0030132B" w:rsidP="00301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 w:val="22"/>
              </w:rPr>
            </w:pPr>
            <w:r w:rsidRPr="00852D74">
              <w:rPr>
                <w:rFonts w:ascii="Annie Use Your Telescope" w:eastAsia="Annie Use Your Telescope" w:hAnsi="Annie Use Your Telescope" w:cs="Annie Use Your Telescope"/>
              </w:rPr>
              <w:t>Understand</w:t>
            </w:r>
            <w:r>
              <w:rPr>
                <w:rFonts w:ascii="Annie Use Your Telescope" w:eastAsia="Annie Use Your Telescope" w:hAnsi="Annie Use Your Telescope" w:cs="Annie Use Your Telescope"/>
              </w:rPr>
              <w:t xml:space="preserve"> the term equivalent fraction</w:t>
            </w:r>
          </w:p>
        </w:tc>
        <w:tc>
          <w:tcPr>
            <w:tcW w:w="1350" w:type="dxa"/>
          </w:tcPr>
          <w:p w14:paraId="08F43AD4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C817D3B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2EAE0C56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661C1927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30132B" w14:paraId="64C99299" w14:textId="77777777" w:rsidTr="004A0272">
        <w:tc>
          <w:tcPr>
            <w:tcW w:w="3235" w:type="dxa"/>
          </w:tcPr>
          <w:p w14:paraId="55CA5DCD" w14:textId="7FCEFE13" w:rsidR="0030132B" w:rsidRPr="00FD1FF0" w:rsidRDefault="0030132B" w:rsidP="00301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 w:val="22"/>
              </w:rPr>
            </w:pPr>
            <w:r w:rsidRPr="00852D74">
              <w:rPr>
                <w:rFonts w:ascii="Annie Use Your Telescope" w:eastAsia="Annie Use Your Telescope" w:hAnsi="Annie Use Your Telescope" w:cs="Annie Use Your Telescope"/>
              </w:rPr>
              <w:t xml:space="preserve">Describe </w:t>
            </w:r>
            <w:r>
              <w:rPr>
                <w:rFonts w:ascii="Annie Use Your Telescope" w:eastAsia="Annie Use Your Telescope" w:hAnsi="Annie Use Your Telescope" w:cs="Annie Use Your Telescope"/>
              </w:rPr>
              <w:t>how two fractions are /are not equivalent</w:t>
            </w:r>
          </w:p>
        </w:tc>
        <w:tc>
          <w:tcPr>
            <w:tcW w:w="1350" w:type="dxa"/>
          </w:tcPr>
          <w:p w14:paraId="4F7D77DC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B6C0C77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1B26E708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3E79E16B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30132B" w14:paraId="7717E261" w14:textId="77777777" w:rsidTr="004A0272">
        <w:tc>
          <w:tcPr>
            <w:tcW w:w="3235" w:type="dxa"/>
          </w:tcPr>
          <w:p w14:paraId="33A625FD" w14:textId="42F623D3" w:rsidR="0030132B" w:rsidRPr="00FD1FF0" w:rsidRDefault="0030132B" w:rsidP="00301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</w:rPr>
              <w:t>Create equivalent fractions</w:t>
            </w:r>
          </w:p>
        </w:tc>
        <w:tc>
          <w:tcPr>
            <w:tcW w:w="1350" w:type="dxa"/>
          </w:tcPr>
          <w:p w14:paraId="080C3BCC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585EC644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46E911A5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7656B2D7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30132B" w14:paraId="188E43ED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4E5A2941" w14:textId="7D88B6EC" w:rsidR="0030132B" w:rsidRPr="00FD1FF0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</w:rPr>
              <w:t>Understand why one fraction has many equivalent fractions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ED7136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1D1335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76DC5B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7F04B87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30132B" w14:paraId="17F71DAB" w14:textId="77777777" w:rsidTr="00834E73">
        <w:tc>
          <w:tcPr>
            <w:tcW w:w="3235" w:type="dxa"/>
            <w:tcBorders>
              <w:bottom w:val="single" w:sz="18" w:space="0" w:color="auto"/>
            </w:tcBorders>
          </w:tcPr>
          <w:p w14:paraId="6850422D" w14:textId="72DAF135" w:rsidR="0030132B" w:rsidRPr="00FD1FF0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</w:rPr>
              <w:t>Identify equivalent fractions from an image, from a set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A07A66A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42882A31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7CC77309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0A952D4A" w14:textId="77777777" w:rsidR="0030132B" w:rsidRPr="00B0091D" w:rsidRDefault="0030132B" w:rsidP="0030132B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30132B" w14:paraId="2B8AF4FA" w14:textId="77777777" w:rsidTr="00834E73">
        <w:tc>
          <w:tcPr>
            <w:tcW w:w="3235" w:type="dxa"/>
            <w:tcBorders>
              <w:bottom w:val="single" w:sz="18" w:space="0" w:color="auto"/>
            </w:tcBorders>
          </w:tcPr>
          <w:p w14:paraId="78372CCF" w14:textId="2BEFE743" w:rsidR="0030132B" w:rsidRPr="00FD1FF0" w:rsidRDefault="0030132B" w:rsidP="00FD1FF0">
            <w:pPr>
              <w:rPr>
                <w:rFonts w:eastAsia="Annie Use Your Telescope" w:cstheme="minorHAnsi"/>
                <w:b/>
                <w:sz w:val="22"/>
              </w:rPr>
            </w:pPr>
            <w:r w:rsidRPr="00852D74">
              <w:rPr>
                <w:rFonts w:ascii="Annie Use Your Telescope" w:eastAsia="Annie Use Your Telescope" w:hAnsi="Annie Use Your Telescope" w:cs="Annie Use Your Telescope"/>
              </w:rPr>
              <w:t>Mental math stra</w:t>
            </w:r>
            <w:r>
              <w:rPr>
                <w:rFonts w:ascii="Annie Use Your Telescope" w:eastAsia="Annie Use Your Telescope" w:hAnsi="Annie Use Your Telescope" w:cs="Annie Use Your Telescope"/>
              </w:rPr>
              <w:t>t</w:t>
            </w:r>
            <w:r w:rsidRPr="00852D74">
              <w:rPr>
                <w:rFonts w:ascii="Annie Use Your Telescope" w:eastAsia="Annie Use Your Telescope" w:hAnsi="Annie Use Your Telescope" w:cs="Annie Use Your Telescope"/>
              </w:rPr>
              <w:t xml:space="preserve">egy: </w:t>
            </w:r>
            <w:r>
              <w:rPr>
                <w:rFonts w:ascii="Annie Use Your Telescope" w:eastAsia="Annie Use Your Telescope" w:hAnsi="Annie Use Your Telescope" w:cs="Annie Use Your Telescope"/>
              </w:rPr>
              <w:t>Applying strategies for multiplication and related division to 81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77BEF449" w14:textId="77777777" w:rsidR="0030132B" w:rsidRPr="00B0091D" w:rsidRDefault="0030132B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73AE94B8" w14:textId="77777777" w:rsidR="0030132B" w:rsidRPr="00B0091D" w:rsidRDefault="0030132B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0B8C4EF5" w14:textId="77777777" w:rsidR="0030132B" w:rsidRPr="00B0091D" w:rsidRDefault="0030132B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20BDC713" w14:textId="77777777" w:rsidR="0030132B" w:rsidRPr="00B0091D" w:rsidRDefault="0030132B" w:rsidP="00834E73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065CF2B7" w14:textId="77777777" w:rsidTr="004A0272">
        <w:tc>
          <w:tcPr>
            <w:tcW w:w="3235" w:type="dxa"/>
            <w:tcBorders>
              <w:top w:val="single" w:sz="18" w:space="0" w:color="auto"/>
            </w:tcBorders>
          </w:tcPr>
          <w:p w14:paraId="6EFD73AC" w14:textId="3374D713" w:rsidR="004A0272" w:rsidRPr="00B0091D" w:rsidRDefault="0030132B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852D74">
              <w:rPr>
                <w:rFonts w:ascii="Annie Use Your Telescope" w:eastAsia="Annie Use Your Telescope" w:hAnsi="Annie Use Your Telescope" w:cs="Annie Use Your Telescope"/>
              </w:rPr>
              <w:t xml:space="preserve">Can solve problems involving </w:t>
            </w:r>
            <w:r>
              <w:rPr>
                <w:rFonts w:ascii="Annie Use Your Telescope" w:eastAsia="Annie Use Your Telescope" w:hAnsi="Annie Use Your Telescope" w:cs="Annie Use Your Telescope"/>
              </w:rPr>
              <w:t>equivalent fractions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C4B890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8D532B4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3606F6B6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</w:tcBorders>
          </w:tcPr>
          <w:p w14:paraId="44337D5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26D14DEC" w14:textId="246BD071" w:rsidR="004A0272" w:rsidRDefault="004A0272">
      <w:pPr>
        <w:spacing w:before="0" w:after="0"/>
        <w:rPr>
          <w:rFonts w:eastAsia="Annie Use Your Telescope" w:cstheme="minorHAnsi"/>
          <w:b/>
          <w:sz w:val="22"/>
        </w:rPr>
      </w:pPr>
    </w:p>
    <w:p w14:paraId="7B890FA8" w14:textId="1E3F9462" w:rsidR="00C9049A" w:rsidRPr="00C9049A" w:rsidRDefault="00B0091D" w:rsidP="00C9049A">
      <w:pPr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0748D088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5B235F97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483A8565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4304D2FD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406E4FC3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B80634">
        <w:rPr>
          <w:rFonts w:eastAsia="Annie Use Your Telescope" w:cstheme="minorHAnsi"/>
          <w:sz w:val="22"/>
        </w:rPr>
        <w:t>question has not been attempted</w:t>
      </w:r>
    </w:p>
    <w:p w14:paraId="19874B46" w14:textId="77777777" w:rsidR="00C9049A" w:rsidRPr="00C9049A" w:rsidRDefault="00C9049A" w:rsidP="00C9049A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p w14:paraId="2838711B" w14:textId="77777777" w:rsidR="0091395E" w:rsidRPr="00C9049A" w:rsidRDefault="0091395E" w:rsidP="00D14D9B">
      <w:pPr>
        <w:rPr>
          <w:rFonts w:cstheme="minorHAnsi"/>
        </w:rPr>
      </w:pPr>
    </w:p>
    <w:sectPr w:rsidR="0091395E" w:rsidRPr="00C9049A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Semibold">
    <w:panose1 w:val="020B07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20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80473"/>
    <w:rsid w:val="00080BAF"/>
    <w:rsid w:val="000B1139"/>
    <w:rsid w:val="000C0F7A"/>
    <w:rsid w:val="000C11AB"/>
    <w:rsid w:val="000C3617"/>
    <w:rsid w:val="00114D3D"/>
    <w:rsid w:val="001371DC"/>
    <w:rsid w:val="00137DAA"/>
    <w:rsid w:val="00174671"/>
    <w:rsid w:val="001A7E48"/>
    <w:rsid w:val="001B198C"/>
    <w:rsid w:val="001B60E7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30132B"/>
    <w:rsid w:val="00303DB9"/>
    <w:rsid w:val="00305428"/>
    <w:rsid w:val="00324AEE"/>
    <w:rsid w:val="00344AB8"/>
    <w:rsid w:val="003940E0"/>
    <w:rsid w:val="003C55FA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5472E"/>
    <w:rsid w:val="00576DCB"/>
    <w:rsid w:val="005B50AF"/>
    <w:rsid w:val="00602B81"/>
    <w:rsid w:val="00607422"/>
    <w:rsid w:val="0060768B"/>
    <w:rsid w:val="0061206A"/>
    <w:rsid w:val="006147FF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66903"/>
    <w:rsid w:val="0077149B"/>
    <w:rsid w:val="00772BC2"/>
    <w:rsid w:val="00786F5E"/>
    <w:rsid w:val="007B6BF6"/>
    <w:rsid w:val="007B7CBE"/>
    <w:rsid w:val="007D301C"/>
    <w:rsid w:val="007E23E1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6321"/>
    <w:rsid w:val="00A6358B"/>
    <w:rsid w:val="00A70E0D"/>
    <w:rsid w:val="00A80A17"/>
    <w:rsid w:val="00A81149"/>
    <w:rsid w:val="00A8298C"/>
    <w:rsid w:val="00AA5EAB"/>
    <w:rsid w:val="00AB0C80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55590"/>
    <w:rsid w:val="00C85341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23817"/>
    <w:rsid w:val="00E36F83"/>
    <w:rsid w:val="00E40B63"/>
    <w:rsid w:val="00E80B11"/>
    <w:rsid w:val="00E85523"/>
    <w:rsid w:val="00E93D35"/>
    <w:rsid w:val="00EA3150"/>
    <w:rsid w:val="00EB31BB"/>
    <w:rsid w:val="00F30572"/>
    <w:rsid w:val="00F3295D"/>
    <w:rsid w:val="00F33553"/>
    <w:rsid w:val="00F444E5"/>
    <w:rsid w:val="00F71C14"/>
    <w:rsid w:val="00F76D2A"/>
    <w:rsid w:val="00FA1385"/>
    <w:rsid w:val="00FB6EEF"/>
    <w:rsid w:val="00FC6773"/>
    <w:rsid w:val="00FD1FF0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docs/mental_ma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hyperlink" Target="http://www.edu.gov.mb.ca/k12/mylearning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ath_knowledge_understand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E7F79-1105-4978-BB8B-64CC79C0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62291-255e-4528-aa4c-42bcbf348d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5385</Characters>
  <Application>Microsoft Office Word</Application>
  <DocSecurity>0</DocSecurity>
  <Lines>269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2</cp:revision>
  <cp:lastPrinted>2020-12-11T19:20:00Z</cp:lastPrinted>
  <dcterms:created xsi:type="dcterms:W3CDTF">2020-12-23T20:23:00Z</dcterms:created>
  <dcterms:modified xsi:type="dcterms:W3CDTF">2020-12-23T20:23:00Z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