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47C43402" w:rsidR="00054FD3" w:rsidRDefault="00257E2A" w:rsidP="009463AE">
            <w:r>
              <w:t>7</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Default="004D1BC9" w:rsidP="009463AE">
            <w:r>
              <w:t>Science</w:t>
            </w:r>
          </w:p>
        </w:tc>
      </w:tr>
      <w:tr w:rsidR="00257E2A" w14:paraId="722E4462" w14:textId="77777777" w:rsidTr="009463AE">
        <w:trPr>
          <w:trHeight w:val="504"/>
        </w:trPr>
        <w:tc>
          <w:tcPr>
            <w:tcW w:w="2065" w:type="dxa"/>
            <w:shd w:val="clear" w:color="auto" w:fill="E0E9EC"/>
            <w:vAlign w:val="center"/>
          </w:tcPr>
          <w:p w14:paraId="370DB22B" w14:textId="77777777" w:rsidR="00257E2A" w:rsidRPr="00511CEB" w:rsidRDefault="00257E2A" w:rsidP="00257E2A">
            <w:pPr>
              <w:pStyle w:val="tablecolumnheader"/>
            </w:pPr>
            <w:r w:rsidRPr="00511CEB">
              <w:t>Big Idea:</w:t>
            </w:r>
          </w:p>
        </w:tc>
        <w:tc>
          <w:tcPr>
            <w:tcW w:w="8391" w:type="dxa"/>
            <w:shd w:val="clear" w:color="auto" w:fill="auto"/>
            <w:vAlign w:val="center"/>
          </w:tcPr>
          <w:p w14:paraId="2378F3D0" w14:textId="13758261" w:rsidR="00257E2A" w:rsidRDefault="00257E2A" w:rsidP="00257E2A">
            <w:r>
              <w:t>Earth’s Composition and Proportional Thinking</w:t>
            </w:r>
          </w:p>
        </w:tc>
      </w:tr>
      <w:tr w:rsidR="00257E2A" w14:paraId="28C78BDD" w14:textId="77777777" w:rsidTr="009463AE">
        <w:trPr>
          <w:trHeight w:val="350"/>
        </w:trPr>
        <w:tc>
          <w:tcPr>
            <w:tcW w:w="2065" w:type="dxa"/>
            <w:shd w:val="clear" w:color="auto" w:fill="E0E9EC"/>
            <w:vAlign w:val="center"/>
          </w:tcPr>
          <w:p w14:paraId="74024AED" w14:textId="613A93EC" w:rsidR="00257E2A" w:rsidRPr="00511CEB" w:rsidRDefault="00257E2A" w:rsidP="00257E2A">
            <w:pPr>
              <w:pStyle w:val="tablecolumnheader"/>
            </w:pPr>
            <w:r>
              <w:t>Title</w:t>
            </w:r>
            <w:r w:rsidRPr="00511CEB">
              <w:t>:</w:t>
            </w:r>
          </w:p>
        </w:tc>
        <w:tc>
          <w:tcPr>
            <w:tcW w:w="8391" w:type="dxa"/>
            <w:shd w:val="clear" w:color="auto" w:fill="auto"/>
            <w:vAlign w:val="center"/>
          </w:tcPr>
          <w:p w14:paraId="17015286" w14:textId="657EE3E4" w:rsidR="00257E2A" w:rsidRDefault="00257E2A" w:rsidP="00257E2A">
            <w:r>
              <w:t>ZOOM!</w:t>
            </w:r>
          </w:p>
        </w:tc>
      </w:tr>
      <w:tr w:rsidR="00257E2A" w14:paraId="09395AAB" w14:textId="77777777" w:rsidTr="009463AE">
        <w:trPr>
          <w:trHeight w:val="350"/>
        </w:trPr>
        <w:tc>
          <w:tcPr>
            <w:tcW w:w="2065" w:type="dxa"/>
            <w:shd w:val="clear" w:color="auto" w:fill="E0E9EC"/>
            <w:vAlign w:val="center"/>
          </w:tcPr>
          <w:p w14:paraId="6FB5702B" w14:textId="147FBB17" w:rsidR="00257E2A" w:rsidRDefault="00257E2A" w:rsidP="00257E2A">
            <w:pPr>
              <w:pStyle w:val="tablecolumnheader"/>
            </w:pPr>
            <w:r>
              <w:t>Cluster:</w:t>
            </w:r>
          </w:p>
        </w:tc>
        <w:tc>
          <w:tcPr>
            <w:tcW w:w="8391" w:type="dxa"/>
            <w:shd w:val="clear" w:color="auto" w:fill="auto"/>
            <w:vAlign w:val="center"/>
          </w:tcPr>
          <w:p w14:paraId="1E9D079A" w14:textId="4D18135A" w:rsidR="00257E2A" w:rsidRDefault="00257E2A" w:rsidP="00257E2A">
            <w:r>
              <w:t>Earth’s Crust</w:t>
            </w:r>
          </w:p>
        </w:tc>
      </w:tr>
      <w:tr w:rsidR="00257E2A" w14:paraId="4E300559" w14:textId="77777777" w:rsidTr="009463AE">
        <w:trPr>
          <w:trHeight w:val="504"/>
        </w:trPr>
        <w:tc>
          <w:tcPr>
            <w:tcW w:w="2065" w:type="dxa"/>
            <w:shd w:val="clear" w:color="auto" w:fill="E0E9EC"/>
            <w:vAlign w:val="center"/>
          </w:tcPr>
          <w:p w14:paraId="0A4D6512" w14:textId="77777777" w:rsidR="00257E2A" w:rsidRPr="00511CEB" w:rsidRDefault="00257E2A" w:rsidP="00257E2A">
            <w:pPr>
              <w:pStyle w:val="tablecolumnheader"/>
            </w:pPr>
            <w:r w:rsidRPr="00511CEB">
              <w:t>Duration:</w:t>
            </w:r>
          </w:p>
        </w:tc>
        <w:tc>
          <w:tcPr>
            <w:tcW w:w="8391" w:type="dxa"/>
            <w:shd w:val="clear" w:color="auto" w:fill="auto"/>
            <w:vAlign w:val="center"/>
          </w:tcPr>
          <w:p w14:paraId="562B1777" w14:textId="58E260B2" w:rsidR="00257E2A" w:rsidRDefault="00257E2A" w:rsidP="00257E2A">
            <w:r>
              <w:t>Approximately 1 week</w:t>
            </w:r>
          </w:p>
        </w:tc>
      </w:tr>
      <w:tr w:rsidR="00257E2A" w14:paraId="3A09C12E" w14:textId="77777777" w:rsidTr="009463AE">
        <w:trPr>
          <w:trHeight w:val="504"/>
        </w:trPr>
        <w:tc>
          <w:tcPr>
            <w:tcW w:w="2065" w:type="dxa"/>
            <w:shd w:val="clear" w:color="auto" w:fill="E0E9EC"/>
            <w:vAlign w:val="center"/>
          </w:tcPr>
          <w:p w14:paraId="234A0E5C" w14:textId="77777777" w:rsidR="00257E2A" w:rsidRPr="00511CEB" w:rsidRDefault="00257E2A" w:rsidP="00257E2A">
            <w:pPr>
              <w:pStyle w:val="tablecolumnheader"/>
            </w:pPr>
            <w:r w:rsidRPr="00511CEB">
              <w:t>Materials:</w:t>
            </w:r>
          </w:p>
        </w:tc>
        <w:tc>
          <w:tcPr>
            <w:tcW w:w="8391" w:type="dxa"/>
            <w:shd w:val="clear" w:color="auto" w:fill="auto"/>
            <w:vAlign w:val="center"/>
          </w:tcPr>
          <w:p w14:paraId="6B15AFE4" w14:textId="45C4C09A" w:rsidR="00257E2A" w:rsidRDefault="00257E2A" w:rsidP="00257E2A">
            <w:pPr>
              <w:spacing w:before="0" w:after="0"/>
            </w:pPr>
            <w:r w:rsidRPr="00257E2A">
              <w:rPr>
                <w:i/>
                <w:iCs/>
              </w:rPr>
              <w:t xml:space="preserve">Zoom </w:t>
            </w:r>
            <w:r w:rsidRPr="00257E2A">
              <w:t>by Istvan Banyai, toy, paper, pencil, science textbook (if available), art supplies (paint, oil pastels, pencils, clay, playdough – whatever is available in the home), ruler, building materials (paper, cardboard, playdough, tape, etc. – whatever is available in the home)</w:t>
            </w:r>
          </w:p>
        </w:tc>
      </w:tr>
      <w:tr w:rsidR="00257E2A" w14:paraId="506C0369" w14:textId="77777777" w:rsidTr="009463AE">
        <w:trPr>
          <w:trHeight w:val="504"/>
        </w:trPr>
        <w:tc>
          <w:tcPr>
            <w:tcW w:w="2065" w:type="dxa"/>
            <w:shd w:val="clear" w:color="auto" w:fill="E0E9EC"/>
            <w:vAlign w:val="center"/>
          </w:tcPr>
          <w:p w14:paraId="6138343C" w14:textId="3FB072EB" w:rsidR="00257E2A" w:rsidRPr="00511CEB" w:rsidRDefault="00257E2A" w:rsidP="00257E2A">
            <w:pPr>
              <w:pStyle w:val="tablecolumnheader"/>
            </w:pPr>
            <w:r>
              <w:t>Short Description:</w:t>
            </w:r>
          </w:p>
        </w:tc>
        <w:tc>
          <w:tcPr>
            <w:tcW w:w="8391" w:type="dxa"/>
            <w:shd w:val="clear" w:color="auto" w:fill="auto"/>
            <w:vAlign w:val="center"/>
          </w:tcPr>
          <w:p w14:paraId="4438C1B5" w14:textId="39C08E48" w:rsidR="00257E2A" w:rsidRDefault="00257E2A" w:rsidP="00257E2A">
            <w:r w:rsidRPr="00257E2A">
              <w:t>Project-based learning experiences examining how we can communicate ideas about the Earth without using oral or written language. The experiences can be completed independently but can be supported with synchronous mini-lessons and sharing of student work and ideas.</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14:paraId="5F62D2C0" w14:textId="77777777" w:rsidTr="008F731B">
        <w:tc>
          <w:tcPr>
            <w:tcW w:w="10456" w:type="dxa"/>
          </w:tcPr>
          <w:p w14:paraId="3642D0C2" w14:textId="5B2337D3" w:rsidR="00702937" w:rsidRDefault="008F731B" w:rsidP="00257E2A">
            <w:pPr>
              <w:spacing w:before="0" w:after="0"/>
              <w:rPr>
                <w:rStyle w:val="Hyperlink"/>
                <w:color w:val="0000FF"/>
                <w:lang w:val="fr-CA"/>
              </w:rPr>
            </w:pPr>
            <w:r w:rsidRPr="003D4F96">
              <w:rPr>
                <w:lang w:val="fr-CA"/>
              </w:rPr>
              <w:t xml:space="preserve">Science: </w:t>
            </w:r>
            <w:hyperlink r:id="rId12" w:history="1">
              <w:r w:rsidRPr="0043689E">
                <w:rPr>
                  <w:rStyle w:val="Hyperlink"/>
                  <w:color w:val="0000FF"/>
                  <w:lang w:val="fr-CA"/>
                </w:rPr>
                <w:t>www.edu.gov.mb.ca/k12/cur/science/scicurr.html</w:t>
              </w:r>
            </w:hyperlink>
          </w:p>
          <w:p w14:paraId="52F82E54" w14:textId="7536A1FE" w:rsidR="00257E2A" w:rsidRPr="008C5C2B" w:rsidRDefault="00257E2A" w:rsidP="00257E2A">
            <w:pPr>
              <w:spacing w:before="0"/>
            </w:pPr>
            <w:r>
              <w:t xml:space="preserve">7-4-01, 7-4-02 </w:t>
            </w:r>
          </w:p>
          <w:p w14:paraId="0F979BF9" w14:textId="77777777" w:rsidR="00257E2A" w:rsidRDefault="008F731B" w:rsidP="00CB45A7">
            <w:pPr>
              <w:spacing w:before="0" w:after="0"/>
              <w:rPr>
                <w:rStyle w:val="Hyperlink"/>
                <w:u w:val="none"/>
              </w:rPr>
            </w:pPr>
            <w:r w:rsidRPr="00054FD3">
              <w:t xml:space="preserve">Mathematics: </w:t>
            </w:r>
            <w:hyperlink r:id="rId13" w:history="1">
              <w:r w:rsidRPr="0043689E">
                <w:rPr>
                  <w:rStyle w:val="Hyperlink"/>
                  <w:color w:val="0000FF"/>
                </w:rPr>
                <w:t>www.edu.gov.mb.ca/k12/cur/essentials/docs/glance_kto9_math.pdf</w:t>
              </w:r>
            </w:hyperlink>
            <w:r w:rsidR="00702937">
              <w:rPr>
                <w:rStyle w:val="Hyperlink"/>
                <w:u w:val="none"/>
              </w:rPr>
              <w:t xml:space="preserve"> </w:t>
            </w:r>
          </w:p>
          <w:p w14:paraId="7792E825" w14:textId="77777777" w:rsidR="00257E2A" w:rsidRDefault="00257E2A" w:rsidP="00257E2A">
            <w:pPr>
              <w:spacing w:before="0"/>
              <w:rPr>
                <w:rStyle w:val="Hyperlink"/>
                <w:color w:val="auto"/>
                <w:u w:val="none"/>
                <w:lang w:val="fr-CA"/>
              </w:rPr>
            </w:pPr>
            <w:r w:rsidRPr="00257E2A">
              <w:rPr>
                <w:rStyle w:val="Hyperlink"/>
                <w:color w:val="auto"/>
                <w:u w:val="none"/>
                <w:lang w:val="fr-CA"/>
              </w:rPr>
              <w:t>7.N.3</w:t>
            </w:r>
          </w:p>
          <w:p w14:paraId="1922DDB2" w14:textId="05CAEB08" w:rsidR="008F731B" w:rsidRPr="00257E2A" w:rsidRDefault="00540C28" w:rsidP="00257E2A">
            <w:pPr>
              <w:spacing w:before="0" w:after="0"/>
              <w:rPr>
                <w:rStyle w:val="Hyperlink"/>
                <w:u w:val="none"/>
                <w:lang w:val="fr-CA"/>
              </w:rPr>
            </w:pPr>
            <w:r w:rsidRPr="00257E2A">
              <w:rPr>
                <w:lang w:val="fr-CA"/>
              </w:rPr>
              <w:t xml:space="preserve">ELA: </w:t>
            </w:r>
            <w:hyperlink r:id="rId14" w:history="1">
              <w:r w:rsidRPr="00257E2A">
                <w:rPr>
                  <w:rStyle w:val="Hyperlink"/>
                  <w:color w:val="0000FF"/>
                  <w:lang w:val="fr-CA"/>
                </w:rPr>
                <w:t>www.edu.gov.mb.ca/k12/cur/ela/index.html</w:t>
              </w:r>
            </w:hyperlink>
          </w:p>
          <w:p w14:paraId="33D0769A" w14:textId="69EF1031" w:rsidR="00CA221A" w:rsidRPr="00D158C4" w:rsidRDefault="00CA221A" w:rsidP="00DF3361">
            <w:pPr>
              <w:spacing w:before="0"/>
            </w:pPr>
            <w:r>
              <w:t xml:space="preserve">Language as </w:t>
            </w:r>
            <w:r w:rsidR="00257E2A">
              <w:t>Exploration and Design</w:t>
            </w:r>
          </w:p>
        </w:tc>
      </w:tr>
    </w:tbl>
    <w:p w14:paraId="7F48FEA6" w14:textId="5C52040E" w:rsidR="003D4F96" w:rsidRDefault="003D4F96" w:rsidP="00DC7360">
      <w:pPr>
        <w:pStyle w:val="Heading1"/>
      </w:pPr>
    </w:p>
    <w:p w14:paraId="5172662D" w14:textId="77777777" w:rsidR="003D4F96" w:rsidRDefault="003D4F96">
      <w:pPr>
        <w:spacing w:before="0" w:after="0"/>
        <w:rPr>
          <w:rFonts w:asciiTheme="majorHAnsi" w:eastAsiaTheme="majorEastAsia" w:hAnsiTheme="majorHAnsi" w:cstheme="majorHAnsi"/>
          <w:b/>
          <w:caps/>
          <w:color w:val="FFFFFF" w:themeColor="background1"/>
          <w:spacing w:val="8"/>
          <w:sz w:val="28"/>
          <w:szCs w:val="36"/>
        </w:rPr>
      </w:pPr>
      <w:r>
        <w:br w:type="page"/>
      </w: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54A74023" w:rsidR="00054FD3" w:rsidRPr="00D012A2" w:rsidRDefault="00257E2A" w:rsidP="0040770E">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21A46C5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2F545B54" w:rsidR="00054FD3" w:rsidRPr="00D012A2" w:rsidRDefault="0025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1C540AA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52406C79" w:rsidR="00054FD3" w:rsidRPr="00D012A2" w:rsidRDefault="0025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0C8E3853" w:rsidR="00054FD3" w:rsidRPr="00D012A2" w:rsidRDefault="0025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47137DE0" w:rsidR="00054FD3" w:rsidRPr="00D012A2" w:rsidRDefault="0025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51D0DD48" w:rsidR="00054FD3" w:rsidRPr="00D012A2" w:rsidRDefault="00257E2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170CD47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B00BE62"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16A8825C" w:rsidR="00054FD3" w:rsidRDefault="00257E2A" w:rsidP="00DF3361">
            <w:pPr>
              <w:spacing w:before="0" w:after="0"/>
            </w:pPr>
            <w:r>
              <w:t>Denise Smith and Josh Braaksma</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0229DB20" w14:textId="77777777" w:rsidR="00FA2E4F" w:rsidRDefault="00054FD3" w:rsidP="00FA2E4F">
            <w:pPr>
              <w:pStyle w:val="Tablequestionheader"/>
            </w:pPr>
            <w:r w:rsidRPr="00277088">
              <w:t>Question</w:t>
            </w:r>
            <w:r w:rsidR="00FA2E4F">
              <w:t>s:</w:t>
            </w:r>
          </w:p>
          <w:p w14:paraId="08886812" w14:textId="77777777" w:rsidR="00257E2A" w:rsidRPr="00257E2A" w:rsidRDefault="00257E2A" w:rsidP="00257E2A">
            <w:pPr>
              <w:pStyle w:val="Tablequestionheader"/>
            </w:pPr>
            <w:r w:rsidRPr="00257E2A">
              <w:t>What is the composition of the Earth?</w:t>
            </w:r>
          </w:p>
          <w:p w14:paraId="740D2878" w14:textId="77777777" w:rsidR="00257E2A" w:rsidRPr="00257E2A" w:rsidRDefault="00257E2A" w:rsidP="00257E2A">
            <w:pPr>
              <w:pStyle w:val="Tablequestionheader"/>
            </w:pPr>
            <w:r w:rsidRPr="00257E2A">
              <w:t>How can mathematics be used to compare quantity and measures?</w:t>
            </w:r>
          </w:p>
          <w:p w14:paraId="444363FC" w14:textId="37D66AB2" w:rsidR="00054FD3" w:rsidRPr="00F63357" w:rsidRDefault="00257E2A" w:rsidP="00257E2A">
            <w:pPr>
              <w:pStyle w:val="Tablequestionheader"/>
              <w:rPr>
                <w:lang w:val="en-US"/>
              </w:rPr>
            </w:pPr>
            <w:r w:rsidRPr="00257E2A">
              <w:t>How do we communicate ideas without oral or written language?</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0635534C" w14:textId="722B51E7" w:rsidR="00324AEE" w:rsidRDefault="003D4F96" w:rsidP="004D1BC9">
            <w:pPr>
              <w:rPr>
                <w:lang w:val="en-US"/>
              </w:rPr>
            </w:pPr>
            <w:r>
              <w:rPr>
                <w:lang w:val="en-US"/>
              </w:rPr>
              <w:t>Teacher’s instructions</w:t>
            </w:r>
            <w:r w:rsidR="00CA221A">
              <w:rPr>
                <w:lang w:val="en-US"/>
              </w:rPr>
              <w:t>:</w:t>
            </w:r>
          </w:p>
          <w:p w14:paraId="0BEDA39D" w14:textId="77777777" w:rsidR="00257E2A" w:rsidRPr="00257E2A" w:rsidRDefault="00257E2A" w:rsidP="00257E2A">
            <w:pPr>
              <w:rPr>
                <w:lang w:val="en-US"/>
              </w:rPr>
            </w:pPr>
            <w:r w:rsidRPr="00257E2A">
              <w:rPr>
                <w:b/>
                <w:bCs/>
                <w:u w:val="single"/>
                <w:lang w:val="en-US"/>
              </w:rPr>
              <w:t>Launch:</w:t>
            </w:r>
          </w:p>
          <w:p w14:paraId="36AA6AC5" w14:textId="77777777" w:rsidR="00257E2A" w:rsidRPr="00257E2A" w:rsidRDefault="00257E2A" w:rsidP="00257E2A">
            <w:pPr>
              <w:rPr>
                <w:lang w:val="en-US"/>
              </w:rPr>
            </w:pPr>
            <w:r w:rsidRPr="00257E2A">
              <w:rPr>
                <w:lang w:val="en-US"/>
              </w:rPr>
              <w:t xml:space="preserve">To begin this learning experience, share the book </w:t>
            </w:r>
            <w:r w:rsidRPr="00257E2A">
              <w:rPr>
                <w:i/>
                <w:iCs/>
                <w:lang w:val="en-US"/>
              </w:rPr>
              <w:t>Zoom</w:t>
            </w:r>
            <w:r w:rsidRPr="00257E2A">
              <w:rPr>
                <w:lang w:val="en-US"/>
              </w:rPr>
              <w:t xml:space="preserve"> by Istvan Banyai. This can be done by showing the books to students or viewing the following video: </w:t>
            </w:r>
            <w:hyperlink r:id="rId15" w:history="1">
              <w:r w:rsidRPr="00257E2A">
                <w:rPr>
                  <w:rStyle w:val="Hyperlink"/>
                  <w:lang w:val="en-US"/>
                </w:rPr>
                <w:t>https://www.youtube.com/watch?v=Kgi-RCEjOLw</w:t>
              </w:r>
            </w:hyperlink>
            <w:r w:rsidRPr="00257E2A">
              <w:rPr>
                <w:lang w:val="en-US"/>
              </w:rPr>
              <w:t xml:space="preserve"> </w:t>
            </w:r>
          </w:p>
          <w:p w14:paraId="42CECBE7" w14:textId="77777777" w:rsidR="00257E2A" w:rsidRPr="00257E2A" w:rsidRDefault="00257E2A" w:rsidP="00257E2A">
            <w:pPr>
              <w:rPr>
                <w:lang w:val="en-US"/>
              </w:rPr>
            </w:pPr>
            <w:r w:rsidRPr="00257E2A">
              <w:rPr>
                <w:lang w:val="en-US"/>
              </w:rPr>
              <w:t xml:space="preserve">After viewing the book or the video, have students discuss the message that Istvan Banyai was communicating through his book and also discuss how the images change from one page to the next. </w:t>
            </w:r>
          </w:p>
          <w:p w14:paraId="12712993" w14:textId="77777777" w:rsidR="00257E2A" w:rsidRPr="00257E2A" w:rsidRDefault="00257E2A" w:rsidP="00257E2A">
            <w:pPr>
              <w:rPr>
                <w:lang w:val="en-US"/>
              </w:rPr>
            </w:pPr>
            <w:r w:rsidRPr="00257E2A">
              <w:rPr>
                <w:lang w:val="en-US"/>
              </w:rPr>
              <w:t>Share with students the ideas they will be exploring in these learning experiences, how they share their ideas, and the assessment process.</w:t>
            </w:r>
          </w:p>
          <w:p w14:paraId="1A5498EA" w14:textId="7DCA4613" w:rsidR="00257E2A" w:rsidRPr="00257E2A" w:rsidRDefault="00257E2A" w:rsidP="00257E2A">
            <w:pPr>
              <w:rPr>
                <w:b/>
                <w:bCs/>
                <w:u w:val="single"/>
                <w:lang w:val="en-US"/>
              </w:rPr>
            </w:pPr>
            <w:r w:rsidRPr="00257E2A">
              <w:rPr>
                <w:b/>
                <w:bCs/>
                <w:u w:val="single"/>
                <w:lang w:val="en-US"/>
              </w:rPr>
              <w:t xml:space="preserve">During the </w:t>
            </w:r>
            <w:r>
              <w:rPr>
                <w:b/>
                <w:bCs/>
                <w:u w:val="single"/>
                <w:lang w:val="en-US"/>
              </w:rPr>
              <w:t xml:space="preserve">project </w:t>
            </w:r>
            <w:r w:rsidRPr="00257E2A">
              <w:rPr>
                <w:b/>
                <w:bCs/>
                <w:u w:val="single"/>
                <w:lang w:val="en-US"/>
              </w:rPr>
              <w:t>learning experiences:</w:t>
            </w:r>
          </w:p>
          <w:p w14:paraId="3A7AF870" w14:textId="1CDE101D" w:rsidR="00257E2A" w:rsidRPr="00257E2A" w:rsidRDefault="00257E2A" w:rsidP="00257E2A">
            <w:pPr>
              <w:rPr>
                <w:lang w:val="en-US"/>
              </w:rPr>
            </w:pPr>
            <w:r w:rsidRPr="00257E2A">
              <w:rPr>
                <w:lang w:val="en-US"/>
              </w:rPr>
              <w:t>During this learning experience you might consider some mini-lessons to support your students’ progress. These might include exploring artistic images using different medium and how artists use their medium to communicate ideas and emotions, a compare/contrast of artistic images with science textbook images, and lessons to support proportional thinking using percent and fractions.</w:t>
            </w:r>
          </w:p>
          <w:p w14:paraId="1A99B9B4" w14:textId="5E1795F8" w:rsidR="00257E2A" w:rsidRPr="00257E2A" w:rsidRDefault="00257E2A" w:rsidP="00257E2A">
            <w:pPr>
              <w:rPr>
                <w:lang w:val="en-US"/>
              </w:rPr>
            </w:pPr>
            <w:r w:rsidRPr="00257E2A">
              <w:rPr>
                <w:lang w:val="en-US"/>
              </w:rPr>
              <w:t xml:space="preserve">When checking in with students use this time for students to share what they have been working on and what they have </w:t>
            </w:r>
            <w:r>
              <w:rPr>
                <w:lang w:val="en-US"/>
              </w:rPr>
              <w:t>been learning. From these check-</w:t>
            </w:r>
            <w:r w:rsidRPr="00257E2A">
              <w:rPr>
                <w:lang w:val="en-US"/>
              </w:rPr>
              <w:t>ins choose student work and thinking to be shared during synchronous meetings with the class. This will encourage students to engage in the learning experiences and also provide scaffolding for students who may need support with completing some of the experiences.</w:t>
            </w:r>
          </w:p>
          <w:p w14:paraId="16760024" w14:textId="77777777" w:rsidR="00257E2A" w:rsidRPr="00257E2A" w:rsidRDefault="00257E2A" w:rsidP="00257E2A">
            <w:pPr>
              <w:rPr>
                <w:b/>
                <w:bCs/>
                <w:u w:val="single"/>
                <w:lang w:val="en-US"/>
              </w:rPr>
            </w:pPr>
            <w:r w:rsidRPr="00257E2A">
              <w:rPr>
                <w:b/>
                <w:bCs/>
                <w:u w:val="single"/>
                <w:lang w:val="en-US"/>
              </w:rPr>
              <w:t>How to Use the Assessment Rubric</w:t>
            </w:r>
          </w:p>
          <w:p w14:paraId="47F01F13" w14:textId="77777777" w:rsidR="00257E2A" w:rsidRPr="00257E2A" w:rsidRDefault="00257E2A" w:rsidP="00257E2A">
            <w:pPr>
              <w:numPr>
                <w:ilvl w:val="0"/>
                <w:numId w:val="22"/>
              </w:numPr>
              <w:rPr>
                <w:lang w:val="en-US"/>
              </w:rPr>
            </w:pPr>
            <w:r w:rsidRPr="00257E2A">
              <w:rPr>
                <w:lang w:val="en-US"/>
              </w:rPr>
              <w:t>The rubric is to be used throughout the learning experiences. There is no need for individual criteria or rubrics for each task. Students will use each task to further their understanding of the essential understandings identified in the rubric. Students will be demonstrating this through a variety of modalities.</w:t>
            </w:r>
          </w:p>
          <w:p w14:paraId="61E4E601" w14:textId="77777777" w:rsidR="00257E2A" w:rsidRPr="00257E2A" w:rsidRDefault="00257E2A" w:rsidP="00257E2A">
            <w:pPr>
              <w:numPr>
                <w:ilvl w:val="0"/>
                <w:numId w:val="22"/>
              </w:numPr>
              <w:rPr>
                <w:lang w:val="en-US"/>
              </w:rPr>
            </w:pPr>
            <w:r w:rsidRPr="00257E2A">
              <w:rPr>
                <w:lang w:val="en-US"/>
              </w:rPr>
              <w:t>As you collect evidence of students’ level of understanding, highlight or check off their progress on the rubric. You should notice your students move across the rows as their understanding develops throughout the experiences. Do not average your check marks or highlights. Students obtain their highest level of understanding. It does not matter where they start.</w:t>
            </w:r>
          </w:p>
          <w:p w14:paraId="27657D29" w14:textId="77777777" w:rsidR="00FA2E4F" w:rsidRDefault="00324AEE" w:rsidP="00257E2A">
            <w:pPr>
              <w:spacing w:before="240" w:after="0"/>
              <w:rPr>
                <w:lang w:val="en-US"/>
              </w:rPr>
            </w:pPr>
            <w:r w:rsidRPr="6658324F">
              <w:rPr>
                <w:lang w:val="en-US"/>
              </w:rPr>
              <w:t>Step-by-step instructions for students:</w:t>
            </w:r>
          </w:p>
          <w:p w14:paraId="7D09D6F1" w14:textId="7B7F4E54" w:rsidR="00257E2A" w:rsidRPr="00D3699F" w:rsidRDefault="00257E2A" w:rsidP="00257E2A">
            <w:pPr>
              <w:spacing w:before="0"/>
              <w:rPr>
                <w:lang w:val="en-US"/>
              </w:rPr>
            </w:pPr>
            <w:r w:rsidRPr="00257E2A">
              <w:rPr>
                <w:lang w:val="en-US"/>
              </w:rPr>
              <w:t xml:space="preserve">See </w:t>
            </w:r>
            <w:r w:rsidRPr="00257E2A">
              <w:rPr>
                <w:i/>
                <w:iCs/>
                <w:lang w:val="en-US"/>
              </w:rPr>
              <w:t xml:space="preserve">Zoom Student Instructions </w:t>
            </w:r>
            <w:r w:rsidRPr="00257E2A">
              <w:rPr>
                <w:lang w:val="en-US"/>
              </w:rPr>
              <w:t>PowerPoint</w:t>
            </w:r>
          </w:p>
        </w:tc>
      </w:tr>
      <w:tr w:rsidR="008F731B" w:rsidRPr="000C11AB" w14:paraId="18E9DB62" w14:textId="77777777" w:rsidTr="00881182">
        <w:trPr>
          <w:trHeight w:val="432"/>
        </w:trPr>
        <w:tc>
          <w:tcPr>
            <w:tcW w:w="10456" w:type="dxa"/>
            <w:shd w:val="clear" w:color="auto" w:fill="006699"/>
            <w:tcMar>
              <w:top w:w="115" w:type="dxa"/>
              <w:left w:w="115" w:type="dxa"/>
              <w:bottom w:w="115" w:type="dxa"/>
              <w:right w:w="115" w:type="dxa"/>
            </w:tcMar>
            <w:vAlign w:val="center"/>
          </w:tcPr>
          <w:p w14:paraId="6399A8B4" w14:textId="2F562200" w:rsidR="008F731B" w:rsidRPr="008F731B" w:rsidRDefault="008F731B" w:rsidP="00DC7360">
            <w:pPr>
              <w:pStyle w:val="Heading1"/>
            </w:pPr>
            <w:r w:rsidRPr="008F731B">
              <w:lastRenderedPageBreak/>
              <w:t>APPENDIX (Printable Support Materials Including Assessment)</w:t>
            </w:r>
          </w:p>
        </w:tc>
      </w:tr>
    </w:tbl>
    <w:p w14:paraId="68026FEB" w14:textId="3F64D45D" w:rsidR="007433B6" w:rsidRPr="007433B6" w:rsidRDefault="007433B6" w:rsidP="007433B6">
      <w:pPr>
        <w:rPr>
          <w:b/>
        </w:rPr>
      </w:pPr>
    </w:p>
    <w:tbl>
      <w:tblPr>
        <w:tblW w:w="10304" w:type="dxa"/>
        <w:tblCellMar>
          <w:left w:w="0" w:type="dxa"/>
          <w:right w:w="0" w:type="dxa"/>
        </w:tblCellMar>
        <w:tblLook w:val="0420" w:firstRow="1" w:lastRow="0" w:firstColumn="0" w:lastColumn="0" w:noHBand="0" w:noVBand="1"/>
      </w:tblPr>
      <w:tblGrid>
        <w:gridCol w:w="1765"/>
        <w:gridCol w:w="1765"/>
        <w:gridCol w:w="1738"/>
        <w:gridCol w:w="1505"/>
        <w:gridCol w:w="1694"/>
        <w:gridCol w:w="1837"/>
      </w:tblGrid>
      <w:tr w:rsidR="007433B6" w:rsidRPr="007433B6" w14:paraId="7C4DCAD9" w14:textId="77777777" w:rsidTr="007433B6">
        <w:trPr>
          <w:trHeight w:val="584"/>
        </w:trPr>
        <w:tc>
          <w:tcPr>
            <w:tcW w:w="1765" w:type="dxa"/>
            <w:tcBorders>
              <w:top w:val="single" w:sz="8" w:space="0" w:color="000000"/>
              <w:left w:val="single" w:sz="8" w:space="0" w:color="000000"/>
              <w:bottom w:val="single" w:sz="8" w:space="0" w:color="000000"/>
              <w:right w:val="single" w:sz="8" w:space="0" w:color="000000"/>
            </w:tcBorders>
            <w:shd w:val="clear" w:color="auto" w:fill="EC7016"/>
            <w:tcMar>
              <w:top w:w="72" w:type="dxa"/>
              <w:left w:w="144" w:type="dxa"/>
              <w:bottom w:w="72" w:type="dxa"/>
              <w:right w:w="144" w:type="dxa"/>
            </w:tcMar>
            <w:hideMark/>
          </w:tcPr>
          <w:p w14:paraId="408C7080" w14:textId="77777777" w:rsidR="007433B6" w:rsidRPr="007433B6" w:rsidRDefault="007433B6" w:rsidP="007433B6">
            <w:pPr>
              <w:rPr>
                <w:lang w:val="en-US"/>
              </w:rPr>
            </w:pPr>
            <w:r w:rsidRPr="007433B6">
              <w:rPr>
                <w:b/>
                <w:bCs/>
                <w:lang w:val="en-US"/>
              </w:rPr>
              <w:t>Report Card Category</w:t>
            </w:r>
          </w:p>
        </w:tc>
        <w:tc>
          <w:tcPr>
            <w:tcW w:w="1765" w:type="dxa"/>
            <w:tcBorders>
              <w:top w:val="single" w:sz="8" w:space="0" w:color="000000"/>
              <w:left w:val="single" w:sz="8" w:space="0" w:color="000000"/>
              <w:bottom w:val="single" w:sz="8" w:space="0" w:color="000000"/>
              <w:right w:val="single" w:sz="8" w:space="0" w:color="000000"/>
            </w:tcBorders>
            <w:shd w:val="clear" w:color="auto" w:fill="EC7016"/>
            <w:tcMar>
              <w:top w:w="72" w:type="dxa"/>
              <w:left w:w="144" w:type="dxa"/>
              <w:bottom w:w="72" w:type="dxa"/>
              <w:right w:w="144" w:type="dxa"/>
            </w:tcMar>
            <w:hideMark/>
          </w:tcPr>
          <w:p w14:paraId="66C4A814" w14:textId="77777777" w:rsidR="007433B6" w:rsidRPr="007433B6" w:rsidRDefault="007433B6" w:rsidP="007433B6">
            <w:pPr>
              <w:rPr>
                <w:lang w:val="en-US"/>
              </w:rPr>
            </w:pPr>
            <w:r w:rsidRPr="007433B6">
              <w:rPr>
                <w:b/>
                <w:bCs/>
                <w:lang w:val="en-US"/>
              </w:rPr>
              <w:t>Essential Understanding</w:t>
            </w:r>
          </w:p>
        </w:tc>
        <w:tc>
          <w:tcPr>
            <w:tcW w:w="1738" w:type="dxa"/>
            <w:tcBorders>
              <w:top w:val="single" w:sz="8" w:space="0" w:color="000000"/>
              <w:left w:val="single" w:sz="8" w:space="0" w:color="000000"/>
              <w:bottom w:val="single" w:sz="8" w:space="0" w:color="000000"/>
              <w:right w:val="single" w:sz="8" w:space="0" w:color="000000"/>
            </w:tcBorders>
            <w:shd w:val="clear" w:color="auto" w:fill="EC7016"/>
            <w:tcMar>
              <w:top w:w="72" w:type="dxa"/>
              <w:left w:w="144" w:type="dxa"/>
              <w:bottom w:w="72" w:type="dxa"/>
              <w:right w:w="144" w:type="dxa"/>
            </w:tcMar>
            <w:hideMark/>
          </w:tcPr>
          <w:p w14:paraId="2170EF58" w14:textId="77777777" w:rsidR="007433B6" w:rsidRPr="007433B6" w:rsidRDefault="007433B6" w:rsidP="007433B6">
            <w:pPr>
              <w:rPr>
                <w:lang w:val="en-US"/>
              </w:rPr>
            </w:pPr>
            <w:r w:rsidRPr="007433B6">
              <w:rPr>
                <w:b/>
                <w:bCs/>
                <w:lang w:val="en-US"/>
              </w:rPr>
              <w:t>Limited</w:t>
            </w:r>
          </w:p>
        </w:tc>
        <w:tc>
          <w:tcPr>
            <w:tcW w:w="1505" w:type="dxa"/>
            <w:tcBorders>
              <w:top w:val="single" w:sz="8" w:space="0" w:color="000000"/>
              <w:left w:val="single" w:sz="8" w:space="0" w:color="000000"/>
              <w:bottom w:val="single" w:sz="8" w:space="0" w:color="000000"/>
              <w:right w:val="single" w:sz="8" w:space="0" w:color="000000"/>
            </w:tcBorders>
            <w:shd w:val="clear" w:color="auto" w:fill="EC7016"/>
            <w:tcMar>
              <w:top w:w="72" w:type="dxa"/>
              <w:left w:w="144" w:type="dxa"/>
              <w:bottom w:w="72" w:type="dxa"/>
              <w:right w:w="144" w:type="dxa"/>
            </w:tcMar>
            <w:hideMark/>
          </w:tcPr>
          <w:p w14:paraId="049AC1EA" w14:textId="77777777" w:rsidR="007433B6" w:rsidRPr="007433B6" w:rsidRDefault="007433B6" w:rsidP="007433B6">
            <w:pPr>
              <w:rPr>
                <w:lang w:val="en-US"/>
              </w:rPr>
            </w:pPr>
            <w:r w:rsidRPr="007433B6">
              <w:rPr>
                <w:b/>
                <w:bCs/>
                <w:lang w:val="en-US"/>
              </w:rPr>
              <w:t>Basic</w:t>
            </w:r>
          </w:p>
        </w:tc>
        <w:tc>
          <w:tcPr>
            <w:tcW w:w="1694" w:type="dxa"/>
            <w:tcBorders>
              <w:top w:val="single" w:sz="8" w:space="0" w:color="000000"/>
              <w:left w:val="single" w:sz="8" w:space="0" w:color="000000"/>
              <w:bottom w:val="single" w:sz="8" w:space="0" w:color="000000"/>
              <w:right w:val="single" w:sz="8" w:space="0" w:color="000000"/>
            </w:tcBorders>
            <w:shd w:val="clear" w:color="auto" w:fill="EC7016"/>
            <w:tcMar>
              <w:top w:w="72" w:type="dxa"/>
              <w:left w:w="144" w:type="dxa"/>
              <w:bottom w:w="72" w:type="dxa"/>
              <w:right w:w="144" w:type="dxa"/>
            </w:tcMar>
            <w:hideMark/>
          </w:tcPr>
          <w:p w14:paraId="400DD14D" w14:textId="77777777" w:rsidR="007433B6" w:rsidRPr="007433B6" w:rsidRDefault="007433B6" w:rsidP="007433B6">
            <w:pPr>
              <w:rPr>
                <w:lang w:val="en-US"/>
              </w:rPr>
            </w:pPr>
            <w:r w:rsidRPr="007433B6">
              <w:rPr>
                <w:b/>
                <w:bCs/>
                <w:lang w:val="en-US"/>
              </w:rPr>
              <w:t xml:space="preserve">Good </w:t>
            </w:r>
          </w:p>
        </w:tc>
        <w:tc>
          <w:tcPr>
            <w:tcW w:w="1837" w:type="dxa"/>
            <w:tcBorders>
              <w:top w:val="single" w:sz="8" w:space="0" w:color="000000"/>
              <w:left w:val="single" w:sz="8" w:space="0" w:color="000000"/>
              <w:bottom w:val="single" w:sz="8" w:space="0" w:color="000000"/>
              <w:right w:val="single" w:sz="8" w:space="0" w:color="000000"/>
            </w:tcBorders>
            <w:shd w:val="clear" w:color="auto" w:fill="EC7016"/>
            <w:tcMar>
              <w:top w:w="72" w:type="dxa"/>
              <w:left w:w="144" w:type="dxa"/>
              <w:bottom w:w="72" w:type="dxa"/>
              <w:right w:w="144" w:type="dxa"/>
            </w:tcMar>
            <w:hideMark/>
          </w:tcPr>
          <w:p w14:paraId="6D233FA7" w14:textId="77777777" w:rsidR="007433B6" w:rsidRPr="007433B6" w:rsidRDefault="007433B6" w:rsidP="007433B6">
            <w:pPr>
              <w:rPr>
                <w:lang w:val="en-US"/>
              </w:rPr>
            </w:pPr>
            <w:r w:rsidRPr="007433B6">
              <w:rPr>
                <w:b/>
                <w:bCs/>
                <w:lang w:val="en-US"/>
              </w:rPr>
              <w:t>Very Good to Excellent</w:t>
            </w:r>
          </w:p>
        </w:tc>
      </w:tr>
      <w:tr w:rsidR="007433B6" w:rsidRPr="007433B6" w14:paraId="0C67F47D" w14:textId="77777777" w:rsidTr="008E0296">
        <w:trPr>
          <w:trHeight w:val="584"/>
        </w:trPr>
        <w:tc>
          <w:tcPr>
            <w:tcW w:w="1765"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72" w:type="dxa"/>
              <w:left w:w="144" w:type="dxa"/>
              <w:bottom w:w="72" w:type="dxa"/>
              <w:right w:w="144" w:type="dxa"/>
            </w:tcMar>
            <w:hideMark/>
          </w:tcPr>
          <w:p w14:paraId="4F6BD74C" w14:textId="77777777" w:rsidR="007433B6" w:rsidRPr="007433B6" w:rsidRDefault="007433B6" w:rsidP="007433B6">
            <w:pPr>
              <w:rPr>
                <w:lang w:val="en-US"/>
              </w:rPr>
            </w:pPr>
            <w:r w:rsidRPr="007433B6">
              <w:rPr>
                <w:b/>
                <w:bCs/>
                <w:lang w:val="en-US"/>
              </w:rPr>
              <w:t>Math – Knowledge and Understanding</w:t>
            </w:r>
          </w:p>
        </w:tc>
        <w:tc>
          <w:tcPr>
            <w:tcW w:w="1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2F712C" w14:textId="77777777" w:rsidR="007433B6" w:rsidRPr="007433B6" w:rsidRDefault="007433B6" w:rsidP="007433B6">
            <w:pPr>
              <w:rPr>
                <w:lang w:val="en-US"/>
              </w:rPr>
            </w:pPr>
            <w:r w:rsidRPr="007433B6">
              <w:rPr>
                <w:b/>
                <w:bCs/>
                <w:lang w:val="en-US"/>
              </w:rPr>
              <w:t>Comparisons of number as quantities can be expressed in a variety of ways.</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159AC5" w14:textId="77777777" w:rsidR="007433B6" w:rsidRPr="007433B6" w:rsidRDefault="007433B6" w:rsidP="007433B6">
            <w:pPr>
              <w:rPr>
                <w:lang w:val="en-US"/>
              </w:rPr>
            </w:pPr>
            <w:r w:rsidRPr="007433B6">
              <w:rPr>
                <w:lang w:val="en-US"/>
              </w:rPr>
              <w:t>Matches equivalent fractions and percents.</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DF6616" w14:textId="77777777" w:rsidR="007433B6" w:rsidRPr="007433B6" w:rsidRDefault="007433B6" w:rsidP="007433B6">
            <w:pPr>
              <w:rPr>
                <w:lang w:val="en-US"/>
              </w:rPr>
            </w:pPr>
            <w:r w:rsidRPr="007433B6">
              <w:rPr>
                <w:lang w:val="en-US"/>
              </w:rPr>
              <w:t>Interprets the amount represented by fractions and percents.</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5C30D6" w14:textId="77777777" w:rsidR="007433B6" w:rsidRPr="007433B6" w:rsidRDefault="007433B6" w:rsidP="007433B6">
            <w:pPr>
              <w:rPr>
                <w:lang w:val="en-US"/>
              </w:rPr>
            </w:pPr>
            <w:r w:rsidRPr="007433B6">
              <w:rPr>
                <w:lang w:val="en-US"/>
              </w:rPr>
              <w:t>Relates fractions and percents to contexts involving comparisons.</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A493A" w14:textId="77777777" w:rsidR="007433B6" w:rsidRPr="007433B6" w:rsidRDefault="007433B6" w:rsidP="007433B6">
            <w:pPr>
              <w:rPr>
                <w:lang w:val="en-US"/>
              </w:rPr>
            </w:pPr>
            <w:r w:rsidRPr="007433B6">
              <w:rPr>
                <w:lang w:val="en-US"/>
              </w:rPr>
              <w:t>Chooses appropriate representations to communicate comparisons of quantities and measures.</w:t>
            </w:r>
          </w:p>
        </w:tc>
      </w:tr>
      <w:tr w:rsidR="007433B6" w:rsidRPr="007433B6" w14:paraId="707928A9" w14:textId="77777777" w:rsidTr="008E0296">
        <w:trPr>
          <w:trHeight w:val="584"/>
        </w:trPr>
        <w:tc>
          <w:tcPr>
            <w:tcW w:w="1765"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72" w:type="dxa"/>
              <w:left w:w="144" w:type="dxa"/>
              <w:bottom w:w="72" w:type="dxa"/>
              <w:right w:w="144" w:type="dxa"/>
            </w:tcMar>
            <w:hideMark/>
          </w:tcPr>
          <w:p w14:paraId="0B1B1EA7" w14:textId="77777777" w:rsidR="007433B6" w:rsidRPr="007433B6" w:rsidRDefault="007433B6" w:rsidP="007433B6">
            <w:pPr>
              <w:rPr>
                <w:lang w:val="en-US"/>
              </w:rPr>
            </w:pPr>
            <w:r w:rsidRPr="007433B6">
              <w:rPr>
                <w:b/>
                <w:bCs/>
                <w:lang w:val="en-US"/>
              </w:rPr>
              <w:t>Math – Mental Math and Estimation</w:t>
            </w:r>
          </w:p>
        </w:tc>
        <w:tc>
          <w:tcPr>
            <w:tcW w:w="1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73ABD6" w14:textId="77777777" w:rsidR="007433B6" w:rsidRPr="007433B6" w:rsidRDefault="007433B6" w:rsidP="007433B6">
            <w:pPr>
              <w:rPr>
                <w:lang w:val="en-US"/>
              </w:rPr>
            </w:pPr>
            <w:r w:rsidRPr="007433B6">
              <w:rPr>
                <w:b/>
                <w:bCs/>
                <w:lang w:val="en-US"/>
              </w:rPr>
              <w:t>There are a variety of mental math strategies that are efficient and flexible for solving problems.</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93E8F1" w14:textId="77777777" w:rsidR="007433B6" w:rsidRPr="007433B6" w:rsidRDefault="007433B6" w:rsidP="007433B6">
            <w:pPr>
              <w:rPr>
                <w:lang w:val="en-US"/>
              </w:rPr>
            </w:pPr>
            <w:r w:rsidRPr="007433B6">
              <w:rPr>
                <w:lang w:val="en-US"/>
              </w:rPr>
              <w:t>Calculates to solve problems using paper and pencil only.</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5C21DE" w14:textId="77777777" w:rsidR="007433B6" w:rsidRPr="007433B6" w:rsidRDefault="007433B6" w:rsidP="007433B6">
            <w:pPr>
              <w:rPr>
                <w:lang w:val="en-US"/>
              </w:rPr>
            </w:pPr>
            <w:r w:rsidRPr="007433B6">
              <w:rPr>
                <w:lang w:val="en-US"/>
              </w:rPr>
              <w:t>Describes a variety of mental math strategies to solve problems.</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8C23F4" w14:textId="77777777" w:rsidR="007433B6" w:rsidRPr="007433B6" w:rsidRDefault="007433B6" w:rsidP="007433B6">
            <w:pPr>
              <w:rPr>
                <w:lang w:val="en-US"/>
              </w:rPr>
            </w:pPr>
            <w:r w:rsidRPr="007433B6">
              <w:rPr>
                <w:lang w:val="en-US"/>
              </w:rPr>
              <w:t>Applies a variety of mental math strategies.</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C2D77" w14:textId="77777777" w:rsidR="007433B6" w:rsidRPr="007433B6" w:rsidRDefault="007433B6" w:rsidP="007433B6">
            <w:pPr>
              <w:rPr>
                <w:lang w:val="en-US"/>
              </w:rPr>
            </w:pPr>
            <w:r w:rsidRPr="007433B6">
              <w:rPr>
                <w:lang w:val="en-US"/>
              </w:rPr>
              <w:t>Justifies the selection of a mental math strategy to solve problems in a variety of contexts.</w:t>
            </w:r>
          </w:p>
        </w:tc>
        <w:bookmarkStart w:id="0" w:name="_GoBack"/>
        <w:bookmarkEnd w:id="0"/>
      </w:tr>
      <w:tr w:rsidR="007433B6" w:rsidRPr="007433B6" w14:paraId="330554B5" w14:textId="77777777" w:rsidTr="008E0296">
        <w:trPr>
          <w:trHeight w:val="584"/>
        </w:trPr>
        <w:tc>
          <w:tcPr>
            <w:tcW w:w="1765"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72" w:type="dxa"/>
              <w:left w:w="144" w:type="dxa"/>
              <w:bottom w:w="72" w:type="dxa"/>
              <w:right w:w="144" w:type="dxa"/>
            </w:tcMar>
            <w:hideMark/>
          </w:tcPr>
          <w:p w14:paraId="7319D3F4" w14:textId="77777777" w:rsidR="007433B6" w:rsidRPr="007433B6" w:rsidRDefault="007433B6" w:rsidP="007433B6">
            <w:pPr>
              <w:rPr>
                <w:lang w:val="en-US"/>
              </w:rPr>
            </w:pPr>
            <w:r w:rsidRPr="007433B6">
              <w:rPr>
                <w:b/>
                <w:bCs/>
                <w:lang w:val="en-US"/>
              </w:rPr>
              <w:t>Math – Problem Solving</w:t>
            </w:r>
          </w:p>
        </w:tc>
        <w:tc>
          <w:tcPr>
            <w:tcW w:w="1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51B85" w14:textId="77777777" w:rsidR="007433B6" w:rsidRPr="007433B6" w:rsidRDefault="007433B6" w:rsidP="007433B6">
            <w:pPr>
              <w:rPr>
                <w:lang w:val="en-US"/>
              </w:rPr>
            </w:pPr>
            <w:r w:rsidRPr="007433B6">
              <w:rPr>
                <w:b/>
                <w:bCs/>
                <w:lang w:val="en-US"/>
              </w:rPr>
              <w:t>A variety of mathematical processes and strategies can be used to solve comparison problems.</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5D9C1A" w14:textId="77777777" w:rsidR="007433B6" w:rsidRPr="007433B6" w:rsidRDefault="007433B6" w:rsidP="007433B6">
            <w:pPr>
              <w:rPr>
                <w:lang w:val="en-US"/>
              </w:rPr>
            </w:pPr>
            <w:r w:rsidRPr="007433B6">
              <w:rPr>
                <w:lang w:val="en-US"/>
              </w:rPr>
              <w:t>Copies a process or strategy that has been demonstrated.</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3A62AC" w14:textId="77777777" w:rsidR="007433B6" w:rsidRPr="007433B6" w:rsidRDefault="007433B6" w:rsidP="007433B6">
            <w:pPr>
              <w:rPr>
                <w:lang w:val="en-US"/>
              </w:rPr>
            </w:pPr>
            <w:r w:rsidRPr="007433B6">
              <w:rPr>
                <w:lang w:val="en-US"/>
              </w:rPr>
              <w:t>Describes a process or strategy to solve comparison problems.</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E81010" w14:textId="77777777" w:rsidR="007433B6" w:rsidRPr="007433B6" w:rsidRDefault="007433B6" w:rsidP="007433B6">
            <w:pPr>
              <w:rPr>
                <w:lang w:val="en-US"/>
              </w:rPr>
            </w:pPr>
            <w:r w:rsidRPr="007433B6">
              <w:rPr>
                <w:lang w:val="en-US"/>
              </w:rPr>
              <w:t>Initiates a process or strategy appropriate for solving comparison problems.</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BD1CC4" w14:textId="77777777" w:rsidR="007433B6" w:rsidRPr="007433B6" w:rsidRDefault="007433B6" w:rsidP="007433B6">
            <w:pPr>
              <w:rPr>
                <w:lang w:val="en-US"/>
              </w:rPr>
            </w:pPr>
            <w:r w:rsidRPr="007433B6">
              <w:rPr>
                <w:lang w:val="en-US"/>
              </w:rPr>
              <w:t>Chooses from a variety of strategies to efficiently and flexible solve comparison problems and makes modifications if needed.</w:t>
            </w:r>
          </w:p>
        </w:tc>
      </w:tr>
      <w:tr w:rsidR="007433B6" w:rsidRPr="007433B6" w14:paraId="175A5250" w14:textId="77777777" w:rsidTr="008E0296">
        <w:trPr>
          <w:trHeight w:val="584"/>
        </w:trPr>
        <w:tc>
          <w:tcPr>
            <w:tcW w:w="1765"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hideMark/>
          </w:tcPr>
          <w:p w14:paraId="6E8F84DC" w14:textId="77777777" w:rsidR="007433B6" w:rsidRPr="007433B6" w:rsidRDefault="007433B6" w:rsidP="007433B6">
            <w:pPr>
              <w:rPr>
                <w:b/>
                <w:bCs/>
                <w:lang w:val="en-US"/>
              </w:rPr>
            </w:pPr>
            <w:r w:rsidRPr="007433B6">
              <w:rPr>
                <w:b/>
                <w:bCs/>
                <w:lang w:val="en-US"/>
              </w:rPr>
              <w:t>Science – Knowledge and Understanding</w:t>
            </w:r>
          </w:p>
        </w:tc>
        <w:tc>
          <w:tcPr>
            <w:tcW w:w="1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E8D559" w14:textId="77777777" w:rsidR="007433B6" w:rsidRPr="007433B6" w:rsidRDefault="007433B6" w:rsidP="007433B6">
            <w:pPr>
              <w:rPr>
                <w:b/>
                <w:bCs/>
                <w:lang w:val="en-US"/>
              </w:rPr>
            </w:pPr>
            <w:r w:rsidRPr="007433B6">
              <w:rPr>
                <w:b/>
                <w:bCs/>
                <w:lang w:val="en-US"/>
              </w:rPr>
              <w:t>Technology was used to determine the distinct structure of the Earth’s layers.</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4D80B1" w14:textId="77777777" w:rsidR="007433B6" w:rsidRPr="007433B6" w:rsidRDefault="007433B6" w:rsidP="007433B6">
            <w:pPr>
              <w:rPr>
                <w:lang w:val="en-US"/>
              </w:rPr>
            </w:pPr>
            <w:r w:rsidRPr="007433B6">
              <w:rPr>
                <w:lang w:val="en-US"/>
              </w:rPr>
              <w:t>Names the layers of the Earth.</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4EB31B" w14:textId="77777777" w:rsidR="007433B6" w:rsidRPr="007433B6" w:rsidRDefault="007433B6" w:rsidP="007433B6">
            <w:pPr>
              <w:rPr>
                <w:lang w:val="en-US"/>
              </w:rPr>
            </w:pPr>
            <w:r w:rsidRPr="007433B6">
              <w:rPr>
                <w:lang w:val="en-US"/>
              </w:rPr>
              <w:t>Describes the layers of the Earth.</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3A0479" w14:textId="77777777" w:rsidR="007433B6" w:rsidRPr="007433B6" w:rsidRDefault="007433B6" w:rsidP="007433B6">
            <w:pPr>
              <w:rPr>
                <w:lang w:val="en-US"/>
              </w:rPr>
            </w:pPr>
            <w:r w:rsidRPr="007433B6">
              <w:rPr>
                <w:lang w:val="en-US"/>
              </w:rPr>
              <w:t>Explains how technology was used to determine the characteristics of the Earth.</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A84EC" w14:textId="77777777" w:rsidR="007433B6" w:rsidRPr="007433B6" w:rsidRDefault="007433B6" w:rsidP="007433B6">
            <w:pPr>
              <w:rPr>
                <w:lang w:val="en-US"/>
              </w:rPr>
            </w:pPr>
            <w:r w:rsidRPr="007433B6">
              <w:rPr>
                <w:lang w:val="en-US"/>
              </w:rPr>
              <w:t>Evaluates the role of technology to support our understanding of the Earth’s composition.</w:t>
            </w:r>
          </w:p>
        </w:tc>
      </w:tr>
    </w:tbl>
    <w:p w14:paraId="5110BD09" w14:textId="77777777" w:rsidR="007433B6" w:rsidRDefault="007433B6">
      <w:r>
        <w:br w:type="page"/>
      </w:r>
    </w:p>
    <w:tbl>
      <w:tblPr>
        <w:tblW w:w="10304" w:type="dxa"/>
        <w:tblCellMar>
          <w:left w:w="0" w:type="dxa"/>
          <w:right w:w="0" w:type="dxa"/>
        </w:tblCellMar>
        <w:tblLook w:val="0420" w:firstRow="1" w:lastRow="0" w:firstColumn="0" w:lastColumn="0" w:noHBand="0" w:noVBand="1"/>
      </w:tblPr>
      <w:tblGrid>
        <w:gridCol w:w="1765"/>
        <w:gridCol w:w="1765"/>
        <w:gridCol w:w="1738"/>
        <w:gridCol w:w="1505"/>
        <w:gridCol w:w="1694"/>
        <w:gridCol w:w="1837"/>
      </w:tblGrid>
      <w:tr w:rsidR="007433B6" w:rsidRPr="007433B6" w14:paraId="10320573" w14:textId="77777777" w:rsidTr="008E0296">
        <w:trPr>
          <w:trHeight w:val="584"/>
        </w:trPr>
        <w:tc>
          <w:tcPr>
            <w:tcW w:w="176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7F149536" w14:textId="1A33D21F" w:rsidR="007433B6" w:rsidRPr="007433B6" w:rsidRDefault="007433B6" w:rsidP="007433B6">
            <w:pPr>
              <w:rPr>
                <w:b/>
                <w:bCs/>
                <w:lang w:val="en-US"/>
              </w:rPr>
            </w:pPr>
            <w:r w:rsidRPr="007433B6">
              <w:rPr>
                <w:b/>
                <w:bCs/>
                <w:lang w:val="en-US"/>
              </w:rPr>
              <w:lastRenderedPageBreak/>
              <w:t>ELA – Listening &amp; Viewing</w:t>
            </w:r>
          </w:p>
        </w:tc>
        <w:tc>
          <w:tcPr>
            <w:tcW w:w="1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D23C4" w14:textId="77777777" w:rsidR="007433B6" w:rsidRPr="007433B6" w:rsidRDefault="007433B6" w:rsidP="007433B6">
            <w:pPr>
              <w:rPr>
                <w:b/>
                <w:bCs/>
                <w:lang w:val="en-US"/>
              </w:rPr>
            </w:pPr>
            <w:r w:rsidRPr="007433B6">
              <w:rPr>
                <w:b/>
                <w:bCs/>
                <w:lang w:val="en-US"/>
              </w:rPr>
              <w:t>We interpret information and ideas about the world around us in forms other than oral and written language.</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41E674" w14:textId="77777777" w:rsidR="007433B6" w:rsidRPr="007433B6" w:rsidRDefault="007433B6" w:rsidP="007433B6">
            <w:pPr>
              <w:rPr>
                <w:lang w:val="en-US"/>
              </w:rPr>
            </w:pPr>
            <w:r w:rsidRPr="007433B6">
              <w:rPr>
                <w:lang w:val="en-US"/>
              </w:rPr>
              <w:t>Identifies methods of receiving information and ideas.</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32B838" w14:textId="77777777" w:rsidR="007433B6" w:rsidRPr="007433B6" w:rsidRDefault="007433B6" w:rsidP="007433B6">
            <w:pPr>
              <w:rPr>
                <w:lang w:val="en-US"/>
              </w:rPr>
            </w:pPr>
            <w:r w:rsidRPr="007433B6">
              <w:rPr>
                <w:lang w:val="en-US"/>
              </w:rPr>
              <w:t>Discusses how information and ideas about the world around us are shared through forms other than oral and written language.</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D23282" w14:textId="77777777" w:rsidR="007433B6" w:rsidRPr="007433B6" w:rsidRDefault="007433B6" w:rsidP="007433B6">
            <w:pPr>
              <w:rPr>
                <w:lang w:val="en-US"/>
              </w:rPr>
            </w:pPr>
            <w:r w:rsidRPr="007433B6">
              <w:rPr>
                <w:lang w:val="en-US"/>
              </w:rPr>
              <w:t>Summarizes information and ideas about the world around us from a variety of forms other than oral and written language.</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E869DD" w14:textId="77777777" w:rsidR="007433B6" w:rsidRPr="007433B6" w:rsidRDefault="007433B6" w:rsidP="007433B6">
            <w:pPr>
              <w:rPr>
                <w:lang w:val="en-US"/>
              </w:rPr>
            </w:pPr>
            <w:r w:rsidRPr="007433B6">
              <w:rPr>
                <w:lang w:val="en-US"/>
              </w:rPr>
              <w:t>Constructs ideas about the world around us using forms other than oral and written language.</w:t>
            </w:r>
          </w:p>
        </w:tc>
      </w:tr>
      <w:tr w:rsidR="007433B6" w:rsidRPr="007433B6" w14:paraId="2DAFFD55" w14:textId="77777777" w:rsidTr="008E0296">
        <w:trPr>
          <w:trHeight w:val="584"/>
        </w:trPr>
        <w:tc>
          <w:tcPr>
            <w:tcW w:w="176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6A07CF29" w14:textId="77777777" w:rsidR="007433B6" w:rsidRPr="007433B6" w:rsidRDefault="007433B6" w:rsidP="007433B6">
            <w:pPr>
              <w:rPr>
                <w:b/>
                <w:bCs/>
                <w:lang w:val="en-US"/>
              </w:rPr>
            </w:pPr>
            <w:r w:rsidRPr="007433B6">
              <w:rPr>
                <w:b/>
                <w:bCs/>
                <w:lang w:val="en-US"/>
              </w:rPr>
              <w:t>ELA – Speaking and Representing</w:t>
            </w:r>
          </w:p>
        </w:tc>
        <w:tc>
          <w:tcPr>
            <w:tcW w:w="1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3558D" w14:textId="77777777" w:rsidR="007433B6" w:rsidRPr="007433B6" w:rsidRDefault="007433B6" w:rsidP="007433B6">
            <w:pPr>
              <w:rPr>
                <w:b/>
                <w:bCs/>
                <w:lang w:val="en-US"/>
              </w:rPr>
            </w:pPr>
            <w:r w:rsidRPr="007433B6">
              <w:rPr>
                <w:b/>
                <w:bCs/>
                <w:lang w:val="en-US"/>
              </w:rPr>
              <w:t xml:space="preserve">We integrate information and ideas about the world around us in forms other than oral and written language. </w:t>
            </w:r>
          </w:p>
        </w:tc>
        <w:tc>
          <w:tcPr>
            <w:tcW w:w="17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15CD27" w14:textId="77777777" w:rsidR="007433B6" w:rsidRPr="007433B6" w:rsidRDefault="007433B6" w:rsidP="007433B6">
            <w:pPr>
              <w:rPr>
                <w:lang w:val="en-US"/>
              </w:rPr>
            </w:pPr>
            <w:r w:rsidRPr="007433B6">
              <w:rPr>
                <w:lang w:val="en-US"/>
              </w:rPr>
              <w:t>Identifies methods of expressing ideas.</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6C1D39" w14:textId="77777777" w:rsidR="007433B6" w:rsidRPr="007433B6" w:rsidRDefault="007433B6" w:rsidP="007433B6">
            <w:pPr>
              <w:rPr>
                <w:lang w:val="en-US"/>
              </w:rPr>
            </w:pPr>
            <w:r w:rsidRPr="007433B6">
              <w:rPr>
                <w:lang w:val="en-US"/>
              </w:rPr>
              <w:t>Experiments with techniques to express ideas without using oral or written language.</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A9D532" w14:textId="77777777" w:rsidR="007433B6" w:rsidRPr="007433B6" w:rsidRDefault="007433B6" w:rsidP="007433B6">
            <w:pPr>
              <w:rPr>
                <w:lang w:val="en-US"/>
              </w:rPr>
            </w:pPr>
            <w:r w:rsidRPr="007433B6">
              <w:rPr>
                <w:lang w:val="en-US"/>
              </w:rPr>
              <w:t>Differentiates between different techniques to express ideas without oral and written language.</w:t>
            </w:r>
          </w:p>
        </w:tc>
        <w:tc>
          <w:tcPr>
            <w:tcW w:w="1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64AF90" w14:textId="77777777" w:rsidR="007433B6" w:rsidRPr="007433B6" w:rsidRDefault="007433B6" w:rsidP="007433B6">
            <w:pPr>
              <w:rPr>
                <w:lang w:val="en-US"/>
              </w:rPr>
            </w:pPr>
            <w:r w:rsidRPr="007433B6">
              <w:rPr>
                <w:lang w:val="en-US"/>
              </w:rPr>
              <w:t>Integrates techniques to communicate ideas about the world around us without using oral and written language.</w:t>
            </w:r>
          </w:p>
        </w:tc>
      </w:tr>
    </w:tbl>
    <w:p w14:paraId="3F1967B7" w14:textId="00DC2617" w:rsidR="00237E26" w:rsidRPr="00054FD3" w:rsidRDefault="00237E26" w:rsidP="00CB45A7"/>
    <w:sectPr w:rsidR="00237E26" w:rsidRPr="00054FD3"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Prop B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cumin Pro Light">
    <w:altName w:val="Arial"/>
    <w:panose1 w:val="00000000000000000000"/>
    <w:charset w:val="00"/>
    <w:family w:val="swiss"/>
    <w:notTrueType/>
    <w:pitch w:val="variable"/>
    <w:sig w:usb0="00000001" w:usb1="00000001" w:usb2="00000000" w:usb3="00000000" w:csb0="00000193" w:csb1="00000000"/>
  </w:font>
  <w:font w:name="Acumin Pro">
    <w:altName w:val="Arial"/>
    <w:panose1 w:val="00000000000000000000"/>
    <w:charset w:val="00"/>
    <w:family w:val="swiss"/>
    <w:notTrueType/>
    <w:pitch w:val="variable"/>
    <w:sig w:usb0="00000001"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261198"/>
    <w:multiLevelType w:val="hybridMultilevel"/>
    <w:tmpl w:val="43BC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9"/>
  </w:num>
  <w:num w:numId="3">
    <w:abstractNumId w:val="8"/>
  </w:num>
  <w:num w:numId="4">
    <w:abstractNumId w:val="6"/>
  </w:num>
  <w:num w:numId="5">
    <w:abstractNumId w:val="2"/>
  </w:num>
  <w:num w:numId="6">
    <w:abstractNumId w:val="9"/>
  </w:num>
  <w:num w:numId="7">
    <w:abstractNumId w:val="18"/>
  </w:num>
  <w:num w:numId="8">
    <w:abstractNumId w:val="12"/>
  </w:num>
  <w:num w:numId="9">
    <w:abstractNumId w:val="3"/>
  </w:num>
  <w:num w:numId="10">
    <w:abstractNumId w:val="4"/>
  </w:num>
  <w:num w:numId="11">
    <w:abstractNumId w:val="10"/>
  </w:num>
  <w:num w:numId="12">
    <w:abstractNumId w:val="21"/>
  </w:num>
  <w:num w:numId="13">
    <w:abstractNumId w:val="11"/>
  </w:num>
  <w:num w:numId="14">
    <w:abstractNumId w:val="16"/>
  </w:num>
  <w:num w:numId="15">
    <w:abstractNumId w:val="15"/>
  </w:num>
  <w:num w:numId="16">
    <w:abstractNumId w:val="14"/>
  </w:num>
  <w:num w:numId="17">
    <w:abstractNumId w:val="7"/>
  </w:num>
  <w:num w:numId="18">
    <w:abstractNumId w:val="1"/>
  </w:num>
  <w:num w:numId="19">
    <w:abstractNumId w:val="0"/>
  </w:num>
  <w:num w:numId="20">
    <w:abstractNumId w:val="13"/>
  </w:num>
  <w:num w:numId="21">
    <w:abstractNumId w:val="17"/>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370C8"/>
    <w:rsid w:val="00042B2A"/>
    <w:rsid w:val="00052747"/>
    <w:rsid w:val="00054FD3"/>
    <w:rsid w:val="000577BB"/>
    <w:rsid w:val="000B1139"/>
    <w:rsid w:val="000C11AB"/>
    <w:rsid w:val="000C3617"/>
    <w:rsid w:val="00114D3D"/>
    <w:rsid w:val="001371DC"/>
    <w:rsid w:val="00137DAA"/>
    <w:rsid w:val="00174671"/>
    <w:rsid w:val="001A7E48"/>
    <w:rsid w:val="001B198C"/>
    <w:rsid w:val="001D69B4"/>
    <w:rsid w:val="001E526B"/>
    <w:rsid w:val="00202281"/>
    <w:rsid w:val="00202662"/>
    <w:rsid w:val="00206711"/>
    <w:rsid w:val="002069FC"/>
    <w:rsid w:val="00212DA1"/>
    <w:rsid w:val="002226AC"/>
    <w:rsid w:val="00227469"/>
    <w:rsid w:val="00237E26"/>
    <w:rsid w:val="00257E2A"/>
    <w:rsid w:val="00270959"/>
    <w:rsid w:val="00277088"/>
    <w:rsid w:val="00282F27"/>
    <w:rsid w:val="00283D74"/>
    <w:rsid w:val="00291BC3"/>
    <w:rsid w:val="002A234D"/>
    <w:rsid w:val="00303DB9"/>
    <w:rsid w:val="00305428"/>
    <w:rsid w:val="00324AEE"/>
    <w:rsid w:val="00344AB8"/>
    <w:rsid w:val="003940E0"/>
    <w:rsid w:val="003D4F96"/>
    <w:rsid w:val="003D6757"/>
    <w:rsid w:val="003F5E9E"/>
    <w:rsid w:val="00406352"/>
    <w:rsid w:val="0040770E"/>
    <w:rsid w:val="00412327"/>
    <w:rsid w:val="00412A71"/>
    <w:rsid w:val="00421C83"/>
    <w:rsid w:val="00431E78"/>
    <w:rsid w:val="0043431B"/>
    <w:rsid w:val="0043689E"/>
    <w:rsid w:val="00444EB9"/>
    <w:rsid w:val="00485DB0"/>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40C28"/>
    <w:rsid w:val="0055472E"/>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701409"/>
    <w:rsid w:val="00702937"/>
    <w:rsid w:val="00714C05"/>
    <w:rsid w:val="0073265E"/>
    <w:rsid w:val="00732F09"/>
    <w:rsid w:val="007433B6"/>
    <w:rsid w:val="00750A93"/>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296"/>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930BB"/>
    <w:rsid w:val="009B7CDE"/>
    <w:rsid w:val="009C2237"/>
    <w:rsid w:val="009C55D2"/>
    <w:rsid w:val="009C5C64"/>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A5F3C"/>
    <w:rsid w:val="00BB1BE6"/>
    <w:rsid w:val="00BD41A9"/>
    <w:rsid w:val="00BE6FF3"/>
    <w:rsid w:val="00BF6FAB"/>
    <w:rsid w:val="00C172C5"/>
    <w:rsid w:val="00C32F4C"/>
    <w:rsid w:val="00C35602"/>
    <w:rsid w:val="00C409DB"/>
    <w:rsid w:val="00C55590"/>
    <w:rsid w:val="00C861B7"/>
    <w:rsid w:val="00CA221A"/>
    <w:rsid w:val="00CB45A7"/>
    <w:rsid w:val="00CC47F5"/>
    <w:rsid w:val="00CE06EB"/>
    <w:rsid w:val="00D012A2"/>
    <w:rsid w:val="00D030D2"/>
    <w:rsid w:val="00D07914"/>
    <w:rsid w:val="00D14D9B"/>
    <w:rsid w:val="00D158C4"/>
    <w:rsid w:val="00D20C19"/>
    <w:rsid w:val="00D3404F"/>
    <w:rsid w:val="00D3699F"/>
    <w:rsid w:val="00D44BD4"/>
    <w:rsid w:val="00D67601"/>
    <w:rsid w:val="00D76A6D"/>
    <w:rsid w:val="00D877D6"/>
    <w:rsid w:val="00D93B82"/>
    <w:rsid w:val="00D97778"/>
    <w:rsid w:val="00DB0E2B"/>
    <w:rsid w:val="00DC7360"/>
    <w:rsid w:val="00DF3361"/>
    <w:rsid w:val="00E00CAB"/>
    <w:rsid w:val="00E0516E"/>
    <w:rsid w:val="00E23817"/>
    <w:rsid w:val="00E36F83"/>
    <w:rsid w:val="00E40B63"/>
    <w:rsid w:val="00E80B11"/>
    <w:rsid w:val="00E85523"/>
    <w:rsid w:val="00E93D35"/>
    <w:rsid w:val="00EA3150"/>
    <w:rsid w:val="00EB31BB"/>
    <w:rsid w:val="00EE7DC4"/>
    <w:rsid w:val="00F30572"/>
    <w:rsid w:val="00F3295D"/>
    <w:rsid w:val="00F33553"/>
    <w:rsid w:val="00F444E5"/>
    <w:rsid w:val="00F63357"/>
    <w:rsid w:val="00F76D2A"/>
    <w:rsid w:val="00FA1385"/>
    <w:rsid w:val="00FA2E4F"/>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F3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youtube.com/watch?v=Kgi-RCEjOLw" TargetMode="External"/><Relationship Id="rId10" Type="http://schemas.openxmlformats.org/officeDocument/2006/relationships/hyperlink" Target="http://www.edu.gov.mb.ca/k12/mylearning" TargetMode="External"/><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4</cp:revision>
  <cp:lastPrinted>2020-12-11T19:20:00Z</cp:lastPrinted>
  <dcterms:created xsi:type="dcterms:W3CDTF">2020-12-20T22:09:00Z</dcterms:created>
  <dcterms:modified xsi:type="dcterms:W3CDTF">2020-12-21T01:52:00Z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